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A5622" w14:textId="715C4A53" w:rsidR="00940097" w:rsidRPr="00CE0424" w:rsidRDefault="00940097" w:rsidP="00940097">
      <w:pPr>
        <w:pStyle w:val="3GPPHeader"/>
        <w:spacing w:after="0"/>
        <w:rPr>
          <w:sz w:val="32"/>
          <w:szCs w:val="32"/>
          <w:highlight w:val="yellow"/>
        </w:rPr>
      </w:pPr>
      <w:bookmarkStart w:id="0" w:name="OLE_LINK1"/>
      <w:bookmarkStart w:id="1" w:name="OLE_LINK2"/>
      <w:r w:rsidRPr="00CE0424">
        <w:t>3GPP TSG-RAN WG</w:t>
      </w:r>
      <w:r>
        <w:t>2</w:t>
      </w:r>
      <w:r w:rsidRPr="00CE0424">
        <w:t xml:space="preserve"> #</w:t>
      </w:r>
      <w:r>
        <w:t>93bis</w:t>
      </w:r>
      <w:r w:rsidRPr="00CE0424">
        <w:tab/>
      </w:r>
      <w:proofErr w:type="spellStart"/>
      <w:r w:rsidRPr="00CE0424">
        <w:rPr>
          <w:sz w:val="32"/>
          <w:szCs w:val="32"/>
        </w:rPr>
        <w:t>Tdoc</w:t>
      </w:r>
      <w:proofErr w:type="spellEnd"/>
      <w:r w:rsidRPr="00CE0424">
        <w:rPr>
          <w:sz w:val="32"/>
          <w:szCs w:val="32"/>
        </w:rPr>
        <w:t xml:space="preserve"> R2-</w:t>
      </w:r>
      <w:r w:rsidR="00DB1138" w:rsidRPr="00DB1138">
        <w:rPr>
          <w:sz w:val="32"/>
          <w:szCs w:val="32"/>
        </w:rPr>
        <w:t>162753</w:t>
      </w:r>
    </w:p>
    <w:p w14:paraId="5CC74DA3" w14:textId="77777777" w:rsidR="00940097" w:rsidRPr="009A2779" w:rsidRDefault="00940097" w:rsidP="00940097">
      <w:pPr>
        <w:pStyle w:val="3GPPHeader"/>
        <w:spacing w:after="0"/>
        <w:rPr>
          <w:lang w:val="pt-BR"/>
        </w:rPr>
      </w:pPr>
      <w:r w:rsidRPr="009A2779">
        <w:rPr>
          <w:lang w:val="pt-BR"/>
        </w:rPr>
        <w:t>Dubrovnik, Croatia, 11 – 15 April 2016</w:t>
      </w:r>
    </w:p>
    <w:p w14:paraId="64FA46A5" w14:textId="77777777" w:rsidR="00940097" w:rsidRPr="009A2779" w:rsidRDefault="00940097" w:rsidP="00940097">
      <w:pPr>
        <w:pStyle w:val="TdocHeader2"/>
        <w:rPr>
          <w:sz w:val="20"/>
          <w:lang w:val="pt-BR"/>
        </w:rPr>
      </w:pPr>
    </w:p>
    <w:p w14:paraId="70751F60" w14:textId="07AC38C9" w:rsidR="00940097" w:rsidRPr="009A2779" w:rsidRDefault="00940097" w:rsidP="00940097">
      <w:pPr>
        <w:pStyle w:val="TdocHeader2"/>
        <w:spacing w:before="120"/>
        <w:rPr>
          <w:sz w:val="20"/>
          <w:lang w:val="pt-BR"/>
        </w:rPr>
      </w:pPr>
      <w:r w:rsidRPr="009A2779">
        <w:rPr>
          <w:sz w:val="20"/>
          <w:lang w:val="pt-BR"/>
        </w:rPr>
        <w:t>Agenda Item:</w:t>
      </w:r>
      <w:r w:rsidRPr="009A2779">
        <w:rPr>
          <w:sz w:val="20"/>
          <w:lang w:val="pt-BR"/>
        </w:rPr>
        <w:tab/>
      </w:r>
      <w:r w:rsidR="001F7A85" w:rsidRPr="003B2AA0">
        <w:rPr>
          <w:sz w:val="20"/>
          <w:lang w:val="pt-BR"/>
        </w:rPr>
        <w:t>9.3.3</w:t>
      </w:r>
    </w:p>
    <w:p w14:paraId="0D21A345" w14:textId="77777777" w:rsidR="00D00AE7" w:rsidRPr="008979AC" w:rsidRDefault="00D00AE7" w:rsidP="00940097">
      <w:pPr>
        <w:pStyle w:val="TdocHeader2"/>
        <w:spacing w:before="120"/>
        <w:rPr>
          <w:sz w:val="20"/>
          <w:lang w:val="en-US"/>
        </w:rPr>
      </w:pPr>
      <w:r w:rsidRPr="008979AC">
        <w:rPr>
          <w:sz w:val="20"/>
          <w:lang w:val="en-US"/>
        </w:rPr>
        <w:t xml:space="preserve">Source: </w:t>
      </w:r>
      <w:r w:rsidRPr="008979AC">
        <w:rPr>
          <w:sz w:val="20"/>
          <w:lang w:val="en-US"/>
        </w:rPr>
        <w:tab/>
        <w:t>Ericsson</w:t>
      </w:r>
    </w:p>
    <w:p w14:paraId="5E814404" w14:textId="662A7A57" w:rsidR="00D00AE7" w:rsidRPr="0027658D" w:rsidRDefault="00D00AE7" w:rsidP="00940097">
      <w:pPr>
        <w:pStyle w:val="TdocHeader2"/>
        <w:spacing w:before="120"/>
        <w:rPr>
          <w:sz w:val="20"/>
          <w:lang w:val="en-US"/>
        </w:rPr>
      </w:pPr>
      <w:r w:rsidRPr="007B0147">
        <w:rPr>
          <w:sz w:val="20"/>
          <w:lang w:val="en-US"/>
        </w:rPr>
        <w:t>Title:</w:t>
      </w:r>
      <w:r w:rsidRPr="007B0147">
        <w:rPr>
          <w:sz w:val="20"/>
          <w:lang w:val="en-US"/>
        </w:rPr>
        <w:tab/>
      </w:r>
      <w:r w:rsidR="00677351" w:rsidRPr="007B0147">
        <w:rPr>
          <w:sz w:val="20"/>
          <w:lang w:val="en-US"/>
        </w:rPr>
        <w:t xml:space="preserve">Tight integration of </w:t>
      </w:r>
      <w:r w:rsidR="0087450C" w:rsidRPr="007B0147">
        <w:rPr>
          <w:sz w:val="20"/>
          <w:lang w:val="en-US"/>
        </w:rPr>
        <w:t>the New Radio interface</w:t>
      </w:r>
      <w:r w:rsidR="00EF4650" w:rsidRPr="007B0147">
        <w:rPr>
          <w:sz w:val="20"/>
          <w:lang w:val="en-US"/>
        </w:rPr>
        <w:t xml:space="preserve"> (NR) and </w:t>
      </w:r>
      <w:r w:rsidR="007B0147" w:rsidRPr="007B0147">
        <w:rPr>
          <w:sz w:val="20"/>
          <w:lang w:val="en-US"/>
        </w:rPr>
        <w:t>LTE</w:t>
      </w:r>
      <w:r w:rsidR="0064592E">
        <w:rPr>
          <w:sz w:val="20"/>
          <w:lang w:val="en-US"/>
        </w:rPr>
        <w:t>: Control Plane design</w:t>
      </w:r>
    </w:p>
    <w:p w14:paraId="4D368497" w14:textId="77777777" w:rsidR="00D00AE7" w:rsidRPr="0027658D" w:rsidRDefault="00D00AE7" w:rsidP="00940097">
      <w:pPr>
        <w:pStyle w:val="TdocHeader2"/>
        <w:spacing w:before="120"/>
        <w:rPr>
          <w:sz w:val="20"/>
          <w:lang w:val="en-US"/>
        </w:rPr>
      </w:pPr>
      <w:r>
        <w:rPr>
          <w:sz w:val="20"/>
          <w:lang w:val="en-US"/>
        </w:rPr>
        <w:t>Document for:</w:t>
      </w:r>
      <w:r>
        <w:rPr>
          <w:sz w:val="20"/>
          <w:lang w:val="en-US"/>
        </w:rPr>
        <w:tab/>
        <w:t>Discussion and Decision</w:t>
      </w:r>
    </w:p>
    <w:p w14:paraId="5C09D013" w14:textId="77777777" w:rsidR="00940097" w:rsidRDefault="00940097" w:rsidP="00D00AE7">
      <w:pPr>
        <w:pStyle w:val="TdocHeader2"/>
        <w:rPr>
          <w:rFonts w:eastAsia="Times New Roman" w:cs="Arial"/>
          <w:bCs/>
          <w:noProof/>
          <w:sz w:val="20"/>
          <w:szCs w:val="18"/>
          <w:lang w:val="en-US" w:eastAsia="zh-CN"/>
        </w:rPr>
      </w:pPr>
      <w:bookmarkStart w:id="2" w:name="_Ref298777854"/>
      <w:bookmarkEnd w:id="0"/>
      <w:bookmarkEnd w:id="1"/>
    </w:p>
    <w:p w14:paraId="359D9649" w14:textId="026A7640" w:rsidR="00940097" w:rsidRPr="0027658D" w:rsidRDefault="00940097" w:rsidP="00D00AE7">
      <w:pPr>
        <w:pStyle w:val="TdocHeader2"/>
        <w:rPr>
          <w:sz w:val="20"/>
          <w:lang w:val="en-US"/>
        </w:rPr>
      </w:pPr>
    </w:p>
    <w:p w14:paraId="79D02B58" w14:textId="6B3BAA98" w:rsidR="0038254D" w:rsidRPr="0038254D" w:rsidRDefault="00D00AE7" w:rsidP="0038254D">
      <w:pPr>
        <w:pStyle w:val="Heading1"/>
        <w:pBdr>
          <w:top w:val="single" w:sz="12" w:space="0" w:color="auto"/>
        </w:pBdr>
        <w:rPr>
          <w:lang w:val="en-US"/>
        </w:rPr>
      </w:pPr>
      <w:r w:rsidRPr="00310B2F">
        <w:rPr>
          <w:lang w:val="en-US"/>
        </w:rPr>
        <w:t>Introduction</w:t>
      </w:r>
      <w:bookmarkEnd w:id="2"/>
    </w:p>
    <w:p w14:paraId="33773491" w14:textId="7F285CF0" w:rsidR="001F5DBD" w:rsidRDefault="001F5DBD" w:rsidP="001F5DBD">
      <w:pPr>
        <w:tabs>
          <w:tab w:val="left" w:pos="6752"/>
        </w:tabs>
        <w:rPr>
          <w:szCs w:val="22"/>
        </w:rPr>
      </w:pPr>
      <w:r>
        <w:rPr>
          <w:szCs w:val="22"/>
        </w:rPr>
        <w:t>R</w:t>
      </w:r>
      <w:r w:rsidRPr="0057064B">
        <w:rPr>
          <w:szCs w:val="22"/>
        </w:rPr>
        <w:t>equirements</w:t>
      </w:r>
      <w:r>
        <w:rPr>
          <w:szCs w:val="22"/>
        </w:rPr>
        <w:t xml:space="preserve"> for the n</w:t>
      </w:r>
      <w:r w:rsidRPr="0057064B">
        <w:rPr>
          <w:szCs w:val="22"/>
        </w:rPr>
        <w:t>ew Radio Access Technology</w:t>
      </w:r>
      <w:r>
        <w:rPr>
          <w:szCs w:val="22"/>
        </w:rPr>
        <w:t xml:space="preserve"> (NR) </w:t>
      </w:r>
      <w:r>
        <w:rPr>
          <w:szCs w:val="22"/>
        </w:rPr>
        <w:fldChar w:fldCharType="begin"/>
      </w:r>
      <w:r>
        <w:rPr>
          <w:szCs w:val="22"/>
        </w:rPr>
        <w:instrText xml:space="preserve"> REF _Ref447001523 \n \h </w:instrText>
      </w:r>
      <w:r>
        <w:rPr>
          <w:szCs w:val="22"/>
        </w:rPr>
      </w:r>
      <w:r>
        <w:rPr>
          <w:szCs w:val="22"/>
        </w:rPr>
        <w:fldChar w:fldCharType="separate"/>
      </w:r>
      <w:r>
        <w:rPr>
          <w:szCs w:val="22"/>
        </w:rPr>
        <w:t>[1]</w:t>
      </w:r>
      <w:r>
        <w:rPr>
          <w:szCs w:val="22"/>
        </w:rPr>
        <w:fldChar w:fldCharType="end"/>
      </w:r>
      <w:r>
        <w:rPr>
          <w:szCs w:val="22"/>
        </w:rPr>
        <w:t xml:space="preserve"> have been collected </w:t>
      </w:r>
      <w:r w:rsidRPr="0057064B">
        <w:rPr>
          <w:szCs w:val="22"/>
        </w:rPr>
        <w:t xml:space="preserve">and </w:t>
      </w:r>
      <w:r>
        <w:rPr>
          <w:szCs w:val="22"/>
        </w:rPr>
        <w:t xml:space="preserve">a new </w:t>
      </w:r>
      <w:r w:rsidRPr="0057064B">
        <w:rPr>
          <w:szCs w:val="22"/>
        </w:rPr>
        <w:t xml:space="preserve">study item </w:t>
      </w:r>
      <w:r>
        <w:rPr>
          <w:szCs w:val="22"/>
        </w:rPr>
        <w:t xml:space="preserve">initiated in 3GPP </w:t>
      </w:r>
      <w:r>
        <w:rPr>
          <w:szCs w:val="22"/>
        </w:rPr>
        <w:fldChar w:fldCharType="begin"/>
      </w:r>
      <w:r>
        <w:rPr>
          <w:szCs w:val="22"/>
        </w:rPr>
        <w:instrText xml:space="preserve"> REF _Ref447001561 \n \h </w:instrText>
      </w:r>
      <w:r>
        <w:rPr>
          <w:szCs w:val="22"/>
        </w:rPr>
      </w:r>
      <w:r>
        <w:rPr>
          <w:szCs w:val="22"/>
        </w:rPr>
        <w:fldChar w:fldCharType="separate"/>
      </w:r>
      <w:r>
        <w:rPr>
          <w:szCs w:val="22"/>
        </w:rPr>
        <w:t>[2]</w:t>
      </w:r>
      <w:r>
        <w:rPr>
          <w:szCs w:val="22"/>
        </w:rPr>
        <w:fldChar w:fldCharType="end"/>
      </w:r>
      <w:r>
        <w:rPr>
          <w:szCs w:val="22"/>
        </w:rPr>
        <w:t xml:space="preserve">. </w:t>
      </w:r>
      <w:r w:rsidRPr="0057064B">
        <w:rPr>
          <w:szCs w:val="22"/>
        </w:rPr>
        <w:t xml:space="preserve">In parallel, </w:t>
      </w:r>
      <w:r>
        <w:rPr>
          <w:szCs w:val="22"/>
        </w:rPr>
        <w:t xml:space="preserve">it has been decided </w:t>
      </w:r>
      <w:r w:rsidRPr="0057064B">
        <w:rPr>
          <w:szCs w:val="22"/>
        </w:rPr>
        <w:t>to evolve LTE</w:t>
      </w:r>
      <w:r>
        <w:rPr>
          <w:szCs w:val="22"/>
        </w:rPr>
        <w:t xml:space="preserve"> which can be confirmed by the </w:t>
      </w:r>
      <w:r w:rsidRPr="0057064B">
        <w:rPr>
          <w:szCs w:val="22"/>
        </w:rPr>
        <w:t>large number of enhancements proposed for Rel-14, at some extent associated to what have been identified as 5G use cases such as Vehicle-to-</w:t>
      </w:r>
      <w:r>
        <w:rPr>
          <w:szCs w:val="22"/>
        </w:rPr>
        <w:t>X</w:t>
      </w:r>
      <w:r w:rsidRPr="0057064B">
        <w:rPr>
          <w:szCs w:val="22"/>
        </w:rPr>
        <w:t xml:space="preserve"> (V2X) and Narrow Band Internet-of-Things (NB-</w:t>
      </w:r>
      <w:proofErr w:type="spellStart"/>
      <w:r w:rsidRPr="0057064B">
        <w:rPr>
          <w:szCs w:val="22"/>
        </w:rPr>
        <w:t>IoT</w:t>
      </w:r>
      <w:proofErr w:type="spellEnd"/>
      <w:r w:rsidRPr="0057064B">
        <w:rPr>
          <w:szCs w:val="22"/>
        </w:rPr>
        <w:t xml:space="preserve">). </w:t>
      </w:r>
      <w:r>
        <w:rPr>
          <w:szCs w:val="22"/>
        </w:rPr>
        <w:t xml:space="preserve">Furthermore, it has been decided at RAN-71 that the </w:t>
      </w:r>
      <w:r w:rsidRPr="00B344C8">
        <w:rPr>
          <w:szCs w:val="22"/>
        </w:rPr>
        <w:t>3GPP submission to IMT 2020 (aka 5G) will include</w:t>
      </w:r>
      <w:r>
        <w:rPr>
          <w:szCs w:val="22"/>
        </w:rPr>
        <w:t xml:space="preserve"> the </w:t>
      </w:r>
      <w:r w:rsidRPr="00B344C8">
        <w:rPr>
          <w:szCs w:val="22"/>
        </w:rPr>
        <w:t>“New Radio”</w:t>
      </w:r>
      <w:r>
        <w:rPr>
          <w:szCs w:val="22"/>
        </w:rPr>
        <w:t xml:space="preserve"> as well as </w:t>
      </w:r>
      <w:r w:rsidRPr="00B344C8">
        <w:rPr>
          <w:szCs w:val="22"/>
        </w:rPr>
        <w:t>LTE</w:t>
      </w:r>
      <w:r>
        <w:rPr>
          <w:szCs w:val="22"/>
        </w:rPr>
        <w:t>.</w:t>
      </w:r>
      <w:r w:rsidRPr="00B344C8">
        <w:rPr>
          <w:szCs w:val="22"/>
        </w:rPr>
        <w:t xml:space="preserve"> </w:t>
      </w:r>
      <w:r>
        <w:rPr>
          <w:szCs w:val="22"/>
        </w:rPr>
        <w:t>Hence</w:t>
      </w:r>
      <w:r w:rsidRPr="0057064B">
        <w:rPr>
          <w:szCs w:val="22"/>
        </w:rPr>
        <w:t xml:space="preserve">, it </w:t>
      </w:r>
      <w:r>
        <w:rPr>
          <w:szCs w:val="22"/>
        </w:rPr>
        <w:t xml:space="preserve">may be expected that </w:t>
      </w:r>
      <w:r w:rsidRPr="0057064B">
        <w:rPr>
          <w:szCs w:val="22"/>
        </w:rPr>
        <w:t xml:space="preserve">LTE </w:t>
      </w:r>
      <w:r>
        <w:rPr>
          <w:szCs w:val="22"/>
        </w:rPr>
        <w:t>will</w:t>
      </w:r>
      <w:r w:rsidRPr="0057064B">
        <w:rPr>
          <w:szCs w:val="22"/>
        </w:rPr>
        <w:t xml:space="preserve"> </w:t>
      </w:r>
      <w:r>
        <w:rPr>
          <w:szCs w:val="22"/>
        </w:rPr>
        <w:t xml:space="preserve">also fulfil a significant number of </w:t>
      </w:r>
      <w:r w:rsidRPr="0057064B">
        <w:rPr>
          <w:szCs w:val="22"/>
        </w:rPr>
        <w:t xml:space="preserve">the </w:t>
      </w:r>
      <w:r>
        <w:rPr>
          <w:szCs w:val="22"/>
        </w:rPr>
        <w:t xml:space="preserve">IMT 2020 </w:t>
      </w:r>
      <w:r w:rsidRPr="0057064B">
        <w:rPr>
          <w:szCs w:val="22"/>
        </w:rPr>
        <w:t>requirements</w:t>
      </w:r>
      <w:r>
        <w:rPr>
          <w:szCs w:val="22"/>
        </w:rPr>
        <w:t xml:space="preserve"> and will </w:t>
      </w:r>
      <w:r w:rsidRPr="0057064B">
        <w:rPr>
          <w:szCs w:val="22"/>
        </w:rPr>
        <w:t xml:space="preserve">be </w:t>
      </w:r>
      <w:r>
        <w:rPr>
          <w:szCs w:val="22"/>
        </w:rPr>
        <w:t xml:space="preserve">widely </w:t>
      </w:r>
      <w:r w:rsidRPr="0057064B">
        <w:rPr>
          <w:szCs w:val="22"/>
        </w:rPr>
        <w:t>deployed</w:t>
      </w:r>
      <w:r>
        <w:rPr>
          <w:szCs w:val="22"/>
        </w:rPr>
        <w:t xml:space="preserve"> by the time that NR reaches the market.</w:t>
      </w:r>
    </w:p>
    <w:p w14:paraId="37A00ECD" w14:textId="7D74C159" w:rsidR="001F5DBD" w:rsidRDefault="001F5DBD" w:rsidP="001F5DBD">
      <w:pPr>
        <w:tabs>
          <w:tab w:val="left" w:pos="6752"/>
        </w:tabs>
        <w:rPr>
          <w:lang w:val="en-US"/>
        </w:rPr>
      </w:pPr>
      <w:r w:rsidRPr="00834F8F">
        <w:rPr>
          <w:rFonts w:cs="Arial"/>
        </w:rPr>
        <w:t xml:space="preserve">In order to enable mobile operators to leverage as much as possible on their previous investments in LTE, a </w:t>
      </w:r>
      <w:r w:rsidRPr="006A1462">
        <w:rPr>
          <w:i/>
        </w:rPr>
        <w:t>tight integration between LTE and NR</w:t>
      </w:r>
      <w:r w:rsidRPr="00834F8F">
        <w:rPr>
          <w:rFonts w:cs="Arial"/>
        </w:rPr>
        <w:t xml:space="preserve"> has been extensively studied in the research community </w:t>
      </w:r>
      <w:r w:rsidRPr="00834F8F">
        <w:rPr>
          <w:rFonts w:cs="Arial"/>
        </w:rPr>
        <w:fldChar w:fldCharType="begin"/>
      </w:r>
      <w:r w:rsidRPr="00834F8F">
        <w:rPr>
          <w:rFonts w:cs="Arial"/>
        </w:rPr>
        <w:instrText xml:space="preserve"> REF _Ref446848783 \n \h  \* MERGEFORMAT </w:instrText>
      </w:r>
      <w:r w:rsidRPr="00834F8F">
        <w:rPr>
          <w:rFonts w:cs="Arial"/>
        </w:rPr>
      </w:r>
      <w:r w:rsidRPr="00834F8F">
        <w:rPr>
          <w:rFonts w:cs="Arial"/>
        </w:rPr>
        <w:fldChar w:fldCharType="separate"/>
      </w:r>
      <w:r w:rsidRPr="00834F8F">
        <w:rPr>
          <w:rFonts w:cs="Arial"/>
        </w:rPr>
        <w:t>[3]</w:t>
      </w:r>
      <w:r w:rsidRPr="00834F8F">
        <w:rPr>
          <w:rFonts w:cs="Arial"/>
        </w:rPr>
        <w:fldChar w:fldCharType="end"/>
      </w:r>
      <w:r w:rsidRPr="00834F8F">
        <w:rPr>
          <w:rFonts w:cs="Arial"/>
        </w:rPr>
        <w:t xml:space="preserve"> and was captured as a requirement in </w:t>
      </w:r>
      <w:r w:rsidRPr="00834F8F">
        <w:rPr>
          <w:rFonts w:cs="Arial"/>
        </w:rPr>
        <w:fldChar w:fldCharType="begin"/>
      </w:r>
      <w:r w:rsidRPr="00834F8F">
        <w:rPr>
          <w:rFonts w:cs="Arial"/>
        </w:rPr>
        <w:instrText xml:space="preserve"> REF _Ref447001523 \r \h </w:instrText>
      </w:r>
      <w:r w:rsidR="00834F8F" w:rsidRPr="009A2779">
        <w:rPr>
          <w:rFonts w:cs="Arial"/>
        </w:rPr>
        <w:instrText xml:space="preserve"> \* MERGEFORMAT </w:instrText>
      </w:r>
      <w:r w:rsidRPr="00834F8F">
        <w:rPr>
          <w:rFonts w:cs="Arial"/>
        </w:rPr>
      </w:r>
      <w:r w:rsidRPr="00834F8F">
        <w:rPr>
          <w:rFonts w:cs="Arial"/>
        </w:rPr>
        <w:fldChar w:fldCharType="separate"/>
      </w:r>
      <w:r w:rsidRPr="00834F8F">
        <w:rPr>
          <w:rFonts w:cs="Arial"/>
        </w:rPr>
        <w:t>[1]</w:t>
      </w:r>
      <w:r w:rsidRPr="00834F8F">
        <w:rPr>
          <w:rFonts w:cs="Arial"/>
        </w:rPr>
        <w:fldChar w:fldCharType="end"/>
      </w:r>
      <w:r w:rsidRPr="00834F8F">
        <w:rPr>
          <w:rFonts w:cs="Arial"/>
        </w:rPr>
        <w:t>: “</w:t>
      </w:r>
      <w:r w:rsidRPr="00834F8F">
        <w:rPr>
          <w:i/>
        </w:rPr>
        <w:t>The RAN architecture shall support tight interwork</w:t>
      </w:r>
      <w:r w:rsidRPr="00834F8F">
        <w:rPr>
          <w:rFonts w:cs="Arial"/>
          <w:i/>
        </w:rPr>
        <w:t>ing between the new RAT and LTE</w:t>
      </w:r>
      <w:r w:rsidRPr="00834F8F">
        <w:rPr>
          <w:i/>
        </w:rPr>
        <w:t xml:space="preserve"> </w:t>
      </w:r>
      <w:r w:rsidRPr="00834F8F">
        <w:rPr>
          <w:rFonts w:cs="Arial"/>
          <w:i/>
        </w:rPr>
        <w:t>c</w:t>
      </w:r>
      <w:r w:rsidRPr="00834F8F">
        <w:rPr>
          <w:i/>
        </w:rPr>
        <w:t xml:space="preserve">onsidering high performing inter-RAT mobility and aggregation of data flows via at least dual connectivity between LTE and new RAT. This shall be supported for both collocated and non-collocated site deployments.” </w:t>
      </w:r>
      <w:r w:rsidRPr="00834F8F">
        <w:rPr>
          <w:rFonts w:cs="Arial"/>
        </w:rPr>
        <w:t xml:space="preserve">A corresponding objective was captured in the study item on New Radio Access Technology </w:t>
      </w:r>
      <w:r w:rsidRPr="00834F8F">
        <w:rPr>
          <w:rFonts w:cs="Arial"/>
        </w:rPr>
        <w:fldChar w:fldCharType="begin"/>
      </w:r>
      <w:r w:rsidRPr="00834F8F">
        <w:rPr>
          <w:rFonts w:cs="Arial"/>
        </w:rPr>
        <w:instrText xml:space="preserve"> REF _Ref446848631 \n \h  \* MERGEFORMAT </w:instrText>
      </w:r>
      <w:r w:rsidRPr="00834F8F">
        <w:rPr>
          <w:rFonts w:cs="Arial"/>
        </w:rPr>
      </w:r>
      <w:r w:rsidRPr="00834F8F">
        <w:rPr>
          <w:rFonts w:cs="Arial"/>
        </w:rPr>
        <w:fldChar w:fldCharType="separate"/>
      </w:r>
      <w:r w:rsidRPr="00834F8F">
        <w:rPr>
          <w:rFonts w:cs="Arial"/>
        </w:rPr>
        <w:t>[2]</w:t>
      </w:r>
      <w:r w:rsidRPr="00834F8F">
        <w:rPr>
          <w:rFonts w:cs="Arial"/>
        </w:rPr>
        <w:fldChar w:fldCharType="end"/>
      </w:r>
      <w:r w:rsidRPr="00834F8F">
        <w:rPr>
          <w:rFonts w:eastAsia="Malgun Gothic" w:cs="Arial"/>
          <w:bCs/>
          <w:lang w:eastAsia="ko-KR"/>
        </w:rPr>
        <w:t xml:space="preserve">. </w:t>
      </w:r>
      <w:r w:rsidRPr="006A1462">
        <w:rPr>
          <w:lang w:val="en-US"/>
        </w:rPr>
        <w:t>From the CP design perspective a tight integration between LTE and NR consists of the design of RRC protocol framework</w:t>
      </w:r>
      <w:r w:rsidR="005616EF" w:rsidRPr="006A1462">
        <w:rPr>
          <w:lang w:val="en-US"/>
        </w:rPr>
        <w:t>(</w:t>
      </w:r>
      <w:r w:rsidRPr="006A1462">
        <w:rPr>
          <w:lang w:val="en-US"/>
        </w:rPr>
        <w:t>s</w:t>
      </w:r>
      <w:r w:rsidR="005616EF" w:rsidRPr="006A1462">
        <w:rPr>
          <w:lang w:val="en-US"/>
        </w:rPr>
        <w:t>)</w:t>
      </w:r>
      <w:r w:rsidRPr="006A1462">
        <w:rPr>
          <w:lang w:val="en-US"/>
        </w:rPr>
        <w:t xml:space="preserve"> that are at least some level of coordination to support certain features</w:t>
      </w:r>
      <w:r>
        <w:rPr>
          <w:lang w:val="en-US"/>
        </w:rPr>
        <w:t xml:space="preserve">. </w:t>
      </w:r>
    </w:p>
    <w:p w14:paraId="1D3E32ED" w14:textId="05F49296" w:rsidR="001F5DBD" w:rsidRPr="00DF5EB5" w:rsidRDefault="001F5DBD" w:rsidP="00DF5EB5">
      <w:pPr>
        <w:tabs>
          <w:tab w:val="left" w:pos="6752"/>
        </w:tabs>
        <w:rPr>
          <w:rFonts w:cs="Arial"/>
          <w:szCs w:val="22"/>
        </w:rPr>
      </w:pPr>
      <w:r w:rsidRPr="0057064B">
        <w:rPr>
          <w:rFonts w:cs="Arial"/>
          <w:szCs w:val="22"/>
        </w:rPr>
        <w:t xml:space="preserve">This contribution </w:t>
      </w:r>
      <w:r>
        <w:rPr>
          <w:rFonts w:cs="Arial"/>
          <w:szCs w:val="22"/>
        </w:rPr>
        <w:t>discusses means to design the RRC protocol(s) framework to realize a tight integration between LTE and NR.</w:t>
      </w:r>
    </w:p>
    <w:p w14:paraId="1C3C6195" w14:textId="4D460D0E" w:rsidR="007325A6" w:rsidRPr="007325A6" w:rsidRDefault="00625808" w:rsidP="007325A6">
      <w:pPr>
        <w:pStyle w:val="Heading1"/>
      </w:pPr>
      <w:r>
        <w:t>Discussion</w:t>
      </w:r>
    </w:p>
    <w:p w14:paraId="3B6C95D7" w14:textId="77777777" w:rsidR="005616EF" w:rsidRPr="00E35D9F" w:rsidRDefault="005616EF" w:rsidP="005616EF">
      <w:pPr>
        <w:pStyle w:val="Heading2"/>
      </w:pPr>
      <w:r>
        <w:t>Motivation for a tight integration of LTE and NR</w:t>
      </w:r>
    </w:p>
    <w:p w14:paraId="0208A471" w14:textId="54B58A15" w:rsidR="005616EF" w:rsidRPr="005616EF" w:rsidRDefault="005616EF" w:rsidP="005616EF">
      <w:pPr>
        <w:pStyle w:val="Paragraph"/>
        <w:rPr>
          <w:sz w:val="20"/>
          <w:szCs w:val="22"/>
          <w:lang w:val="en-US"/>
        </w:rPr>
      </w:pPr>
      <w:r>
        <w:rPr>
          <w:sz w:val="20"/>
          <w:szCs w:val="22"/>
          <w:lang w:val="en-US"/>
        </w:rPr>
        <w:t xml:space="preserve">In early deployments, </w:t>
      </w:r>
      <w:r w:rsidRPr="0057064B">
        <w:rPr>
          <w:sz w:val="20"/>
          <w:szCs w:val="22"/>
          <w:lang w:val="en-US"/>
        </w:rPr>
        <w:t xml:space="preserve">full </w:t>
      </w:r>
      <w:r>
        <w:rPr>
          <w:sz w:val="20"/>
          <w:szCs w:val="22"/>
          <w:lang w:val="en-US"/>
        </w:rPr>
        <w:t xml:space="preserve">NR </w:t>
      </w:r>
      <w:r w:rsidRPr="0057064B">
        <w:rPr>
          <w:sz w:val="20"/>
          <w:szCs w:val="22"/>
          <w:lang w:val="en-US"/>
        </w:rPr>
        <w:t>coverage might not be available</w:t>
      </w:r>
      <w:r>
        <w:rPr>
          <w:sz w:val="20"/>
          <w:szCs w:val="22"/>
          <w:lang w:val="en-US"/>
        </w:rPr>
        <w:t xml:space="preserve"> so that it will be quite common to have areas with wide LTE coverage and coverage islands of NR. It is also expected that in the 5G time frame, </w:t>
      </w:r>
      <w:r w:rsidRPr="00311F20">
        <w:rPr>
          <w:sz w:val="20"/>
          <w:szCs w:val="22"/>
          <w:lang w:val="en-US"/>
        </w:rPr>
        <w:t xml:space="preserve">there will </w:t>
      </w:r>
      <w:proofErr w:type="gramStart"/>
      <w:r w:rsidRPr="00311F20">
        <w:rPr>
          <w:sz w:val="20"/>
          <w:szCs w:val="22"/>
          <w:lang w:val="en-US"/>
        </w:rPr>
        <w:t>be</w:t>
      </w:r>
      <w:proofErr w:type="gramEnd"/>
      <w:r w:rsidRPr="00311F20">
        <w:rPr>
          <w:sz w:val="20"/>
          <w:szCs w:val="22"/>
          <w:lang w:val="en-US"/>
        </w:rPr>
        <w:t xml:space="preserve"> a significant amount of LTE deployments occupying most of the available spectrum below 6 GHz.</w:t>
      </w:r>
      <w:r>
        <w:rPr>
          <w:sz w:val="20"/>
          <w:szCs w:val="22"/>
          <w:lang w:val="en-US"/>
        </w:rPr>
        <w:t xml:space="preserve"> </w:t>
      </w:r>
      <w:r w:rsidRPr="00311F20">
        <w:rPr>
          <w:sz w:val="20"/>
          <w:szCs w:val="22"/>
          <w:lang w:val="en-US"/>
        </w:rPr>
        <w:t>For this reason it is expected that initial 5G deployment would only be able to utilize a limited</w:t>
      </w:r>
      <w:r>
        <w:rPr>
          <w:sz w:val="20"/>
          <w:szCs w:val="22"/>
          <w:lang w:val="en-US"/>
        </w:rPr>
        <w:t xml:space="preserve"> amount of spectrum below 6 GHz. Due to the limited spectrum below 6 GHz, NR will also </w:t>
      </w:r>
      <w:r w:rsidRPr="00311F20">
        <w:rPr>
          <w:sz w:val="20"/>
          <w:szCs w:val="22"/>
          <w:lang w:val="en-US"/>
        </w:rPr>
        <w:t>be designed to support spectrum above 6 GHz</w:t>
      </w:r>
      <w:r>
        <w:rPr>
          <w:sz w:val="20"/>
          <w:szCs w:val="22"/>
          <w:lang w:val="en-US"/>
        </w:rPr>
        <w:t xml:space="preserve"> where, for some of the bands, propagation is known to be more challenging. </w:t>
      </w:r>
      <w:r w:rsidRPr="00311F20">
        <w:rPr>
          <w:sz w:val="20"/>
          <w:szCs w:val="22"/>
          <w:lang w:val="en-US"/>
        </w:rPr>
        <w:t>The latter implies that NR deployments will</w:t>
      </w:r>
      <w:r w:rsidRPr="00F5550F">
        <w:rPr>
          <w:sz w:val="20"/>
          <w:lang w:val="en-US"/>
        </w:rPr>
        <w:t xml:space="preserve">, at least initially, provide hot spot coverage with reduced penetration and coverage extensions. </w:t>
      </w:r>
      <w:r>
        <w:rPr>
          <w:sz w:val="20"/>
          <w:lang w:val="en-US"/>
        </w:rPr>
        <w:t>Different network s</w:t>
      </w:r>
      <w:r w:rsidRPr="00F5550F">
        <w:rPr>
          <w:sz w:val="20"/>
          <w:lang w:val="en-US"/>
        </w:rPr>
        <w:t xml:space="preserve">cenarios are shown in </w:t>
      </w:r>
      <w:r w:rsidRPr="00F5550F">
        <w:rPr>
          <w:sz w:val="20"/>
          <w:lang w:val="en-US"/>
        </w:rPr>
        <w:fldChar w:fldCharType="begin"/>
      </w:r>
      <w:r w:rsidRPr="00F5550F">
        <w:rPr>
          <w:sz w:val="20"/>
          <w:lang w:val="en-US"/>
        </w:rPr>
        <w:instrText xml:space="preserve"> REF _Ref447287132 \h </w:instrText>
      </w:r>
      <w:r>
        <w:rPr>
          <w:sz w:val="20"/>
          <w:lang w:val="en-US"/>
        </w:rPr>
        <w:instrText xml:space="preserve"> \* MERGEFORMAT </w:instrText>
      </w:r>
      <w:r w:rsidRPr="00F5550F">
        <w:rPr>
          <w:sz w:val="20"/>
          <w:lang w:val="en-US"/>
        </w:rPr>
      </w:r>
      <w:r w:rsidRPr="00F5550F">
        <w:rPr>
          <w:sz w:val="20"/>
          <w:lang w:val="en-US"/>
        </w:rPr>
        <w:fldChar w:fldCharType="separate"/>
      </w:r>
      <w:r w:rsidRPr="00F5550F">
        <w:rPr>
          <w:sz w:val="20"/>
        </w:rPr>
        <w:t xml:space="preserve">Figure </w:t>
      </w:r>
      <w:r w:rsidRPr="00F5550F">
        <w:rPr>
          <w:noProof/>
          <w:sz w:val="20"/>
        </w:rPr>
        <w:t>1</w:t>
      </w:r>
      <w:r w:rsidRPr="00F5550F">
        <w:rPr>
          <w:sz w:val="20"/>
          <w:lang w:val="en-US"/>
        </w:rPr>
        <w:fldChar w:fldCharType="end"/>
      </w:r>
      <w:r w:rsidRPr="00F5550F">
        <w:rPr>
          <w:sz w:val="20"/>
          <w:lang w:val="en-US"/>
        </w:rPr>
        <w:t>.</w:t>
      </w:r>
      <w:r>
        <w:rPr>
          <w:sz w:val="20"/>
          <w:szCs w:val="22"/>
          <w:lang w:val="en-US"/>
        </w:rPr>
        <w:t xml:space="preserve"> </w:t>
      </w:r>
      <w:r>
        <w:rPr>
          <w:lang w:val="en-US"/>
        </w:rPr>
        <w:t xml:space="preserve"> </w:t>
      </w:r>
    </w:p>
    <w:p w14:paraId="6AC4A252" w14:textId="1B6877B5" w:rsidR="00D04411" w:rsidRDefault="00816048" w:rsidP="00D04411">
      <w:pPr>
        <w:rPr>
          <w:lang w:val="en-US"/>
        </w:rPr>
      </w:pPr>
      <w:r w:rsidRPr="00E04BDB">
        <w:rPr>
          <w:lang w:val="en-US"/>
        </w:rPr>
        <w:t xml:space="preserve">By means of the tight interworking, operators could </w:t>
      </w:r>
      <w:r w:rsidR="005616EF">
        <w:rPr>
          <w:lang w:val="en-US"/>
        </w:rPr>
        <w:t xml:space="preserve">enable a high performing multi-RAT mobility in areas where NR is deployed in coverage islands and </w:t>
      </w:r>
      <w:r w:rsidRPr="00E04BDB">
        <w:rPr>
          <w:lang w:val="en-US"/>
        </w:rPr>
        <w:t>efficiently pool their available spectrum and benefit from the existing LTE deployments when deploying N</w:t>
      </w:r>
      <w:r w:rsidR="000C1335">
        <w:rPr>
          <w:lang w:val="en-US"/>
        </w:rPr>
        <w:t>R</w:t>
      </w:r>
      <w:r>
        <w:rPr>
          <w:lang w:val="en-US"/>
        </w:rPr>
        <w:t xml:space="preserve"> in terms of aggregation, coverage, mobility and load balancing</w:t>
      </w:r>
      <w:r w:rsidRPr="00E04BDB">
        <w:rPr>
          <w:lang w:val="en-US"/>
        </w:rPr>
        <w:t>.</w:t>
      </w:r>
      <w:r w:rsidR="005616EF">
        <w:rPr>
          <w:lang w:val="en-US"/>
        </w:rPr>
        <w:t xml:space="preserve"> </w:t>
      </w:r>
      <w:r w:rsidR="00D04411" w:rsidRPr="00E04BDB">
        <w:rPr>
          <w:lang w:val="en-US"/>
        </w:rPr>
        <w:t xml:space="preserve">To </w:t>
      </w:r>
      <w:r w:rsidR="00D04411">
        <w:rPr>
          <w:lang w:val="en-US"/>
        </w:rPr>
        <w:t>take full advantage of</w:t>
      </w:r>
      <w:r w:rsidR="00D04411" w:rsidRPr="00E04BDB">
        <w:rPr>
          <w:lang w:val="en-US"/>
        </w:rPr>
        <w:t xml:space="preserve"> tight interworking, </w:t>
      </w:r>
      <w:r w:rsidR="005616EF">
        <w:rPr>
          <w:lang w:val="en-US"/>
        </w:rPr>
        <w:t xml:space="preserve">the RRC protocol framework(s) </w:t>
      </w:r>
      <w:r w:rsidR="00D04411" w:rsidRPr="00E04BDB">
        <w:rPr>
          <w:lang w:val="en-US"/>
        </w:rPr>
        <w:t>has to be de</w:t>
      </w:r>
      <w:r w:rsidR="00E3425A">
        <w:rPr>
          <w:lang w:val="en-US"/>
        </w:rPr>
        <w:t xml:space="preserve">signed </w:t>
      </w:r>
      <w:r w:rsidR="00D04411" w:rsidRPr="00E04BDB">
        <w:rPr>
          <w:lang w:val="en-US"/>
        </w:rPr>
        <w:t>with collocated</w:t>
      </w:r>
      <w:r w:rsidR="00D04411">
        <w:rPr>
          <w:lang w:val="en-US"/>
        </w:rPr>
        <w:t xml:space="preserve"> (e.g., Figure 1.a)</w:t>
      </w:r>
      <w:r w:rsidR="00D04411" w:rsidRPr="00E04BDB">
        <w:rPr>
          <w:lang w:val="en-US"/>
        </w:rPr>
        <w:t xml:space="preserve"> and non-collocated multi-connectivity</w:t>
      </w:r>
      <w:r w:rsidR="00D04411">
        <w:rPr>
          <w:lang w:val="en-US"/>
        </w:rPr>
        <w:t xml:space="preserve"> (e.g., Figure 1.b and 1.c)</w:t>
      </w:r>
      <w:r w:rsidR="00D04411" w:rsidRPr="00E04BDB">
        <w:rPr>
          <w:lang w:val="en-US"/>
        </w:rPr>
        <w:t xml:space="preserve"> scenarios</w:t>
      </w:r>
      <w:r w:rsidR="00C40BC9">
        <w:rPr>
          <w:lang w:val="en-US"/>
        </w:rPr>
        <w:t xml:space="preserve"> in mind</w:t>
      </w:r>
      <w:r w:rsidR="00DC5F8E">
        <w:rPr>
          <w:lang w:val="en-US"/>
        </w:rPr>
        <w:t xml:space="preserve">. </w:t>
      </w:r>
      <w:r w:rsidR="00397AF7">
        <w:rPr>
          <w:lang w:val="en-US"/>
        </w:rPr>
        <w:t>The tight-interworking functionality</w:t>
      </w:r>
      <w:r w:rsidR="00DC5F8E">
        <w:rPr>
          <w:lang w:val="en-US"/>
        </w:rPr>
        <w:t xml:space="preserve"> should be able to </w:t>
      </w:r>
      <w:r w:rsidR="00C94DB7">
        <w:rPr>
          <w:lang w:val="en-US"/>
        </w:rPr>
        <w:t xml:space="preserve">maximize the benefits of RAT aggregation and load balancing in </w:t>
      </w:r>
      <w:r w:rsidR="00E3425A">
        <w:rPr>
          <w:lang w:val="en-US"/>
        </w:rPr>
        <w:t>coverage</w:t>
      </w:r>
      <w:r w:rsidR="00397AF7">
        <w:rPr>
          <w:lang w:val="en-US"/>
        </w:rPr>
        <w:t>-overlap</w:t>
      </w:r>
      <w:r w:rsidR="00E3425A">
        <w:rPr>
          <w:lang w:val="en-US"/>
        </w:rPr>
        <w:t xml:space="preserve"> </w:t>
      </w:r>
      <w:r w:rsidR="00397AF7">
        <w:rPr>
          <w:lang w:val="en-US"/>
        </w:rPr>
        <w:t>scenarios (see Figure</w:t>
      </w:r>
      <w:r w:rsidR="007752EB">
        <w:rPr>
          <w:lang w:val="en-US"/>
        </w:rPr>
        <w:t>s</w:t>
      </w:r>
      <w:r w:rsidR="00397AF7">
        <w:rPr>
          <w:lang w:val="en-US"/>
        </w:rPr>
        <w:t xml:space="preserve"> 1.a and 1.b)</w:t>
      </w:r>
      <w:r w:rsidR="00E3425A">
        <w:rPr>
          <w:lang w:val="en-US"/>
        </w:rPr>
        <w:t xml:space="preserve"> and enable seamless mobility experience in the </w:t>
      </w:r>
      <w:r w:rsidR="00DC5F8E">
        <w:rPr>
          <w:lang w:val="en-US"/>
        </w:rPr>
        <w:t>coverage</w:t>
      </w:r>
      <w:r w:rsidR="00397AF7">
        <w:rPr>
          <w:lang w:val="en-US"/>
        </w:rPr>
        <w:t>-boundary</w:t>
      </w:r>
      <w:r w:rsidR="00E3425A">
        <w:rPr>
          <w:lang w:val="en-US"/>
        </w:rPr>
        <w:t xml:space="preserve"> scenarios</w:t>
      </w:r>
      <w:r w:rsidR="00397AF7">
        <w:rPr>
          <w:lang w:val="en-US"/>
        </w:rPr>
        <w:t xml:space="preserve"> (Figure 1.c)</w:t>
      </w:r>
      <w:r w:rsidR="00DC5F8E">
        <w:rPr>
          <w:lang w:val="en-US"/>
        </w:rPr>
        <w:t>.</w:t>
      </w:r>
    </w:p>
    <w:p w14:paraId="54D3B279" w14:textId="50EA2E37" w:rsidR="0003595F" w:rsidRDefault="0003595F" w:rsidP="00D04411"/>
    <w:p w14:paraId="16C925B4" w14:textId="77777777" w:rsidR="006E64AA" w:rsidRDefault="005B63B5" w:rsidP="006E64AA">
      <w:pPr>
        <w:keepNext/>
        <w:jc w:val="center"/>
      </w:pPr>
      <w:r w:rsidRPr="005B63B5">
        <w:rPr>
          <w:noProof/>
          <w:lang w:val="en-US"/>
        </w:rPr>
        <w:lastRenderedPageBreak/>
        <w:drawing>
          <wp:inline distT="0" distB="0" distL="0" distR="0" wp14:anchorId="3EC69D26" wp14:editId="49DEDCAB">
            <wp:extent cx="6109855" cy="1167808"/>
            <wp:effectExtent l="0" t="0" r="5715"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0523" cy="1167936"/>
                    </a:xfrm>
                    <a:prstGeom prst="rect">
                      <a:avLst/>
                    </a:prstGeom>
                    <a:noFill/>
                    <a:ln>
                      <a:noFill/>
                    </a:ln>
                    <a:effectLst/>
                    <a:extLst/>
                  </pic:spPr>
                </pic:pic>
              </a:graphicData>
            </a:graphic>
          </wp:inline>
        </w:drawing>
      </w:r>
    </w:p>
    <w:p w14:paraId="3DB81673" w14:textId="31325A3C" w:rsidR="006E64AA" w:rsidRDefault="006E64AA" w:rsidP="006E64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bookmarkStart w:id="3" w:name="_Ref447321328"/>
      <w:r>
        <w:t>Network scenarios</w:t>
      </w:r>
      <w:bookmarkEnd w:id="3"/>
    </w:p>
    <w:p w14:paraId="15CB75FE" w14:textId="0E7DA1F0" w:rsidR="00E5597C" w:rsidRPr="00E5597C" w:rsidRDefault="005616EF" w:rsidP="005616EF">
      <w:pPr>
        <w:pStyle w:val="Heading3"/>
      </w:pPr>
      <w:r>
        <w:t>High performing Inter-RAT mobility</w:t>
      </w:r>
      <w:r w:rsidR="00E5597C">
        <w:t xml:space="preserve"> (Active UEs)</w:t>
      </w:r>
    </w:p>
    <w:p w14:paraId="0BF230DF" w14:textId="77777777" w:rsidR="008E3FAE" w:rsidRDefault="005616EF" w:rsidP="005616EF">
      <w:pPr>
        <w:pStyle w:val="Paragraph"/>
        <w:rPr>
          <w:sz w:val="20"/>
          <w:szCs w:val="22"/>
          <w:lang w:val="en-US"/>
        </w:rPr>
      </w:pPr>
      <w:r>
        <w:rPr>
          <w:sz w:val="20"/>
          <w:szCs w:val="22"/>
          <w:lang w:val="en-US"/>
        </w:rPr>
        <w:t xml:space="preserve">In order to efficiently enable UEs to switch between coverage layers </w:t>
      </w:r>
      <w:r>
        <w:rPr>
          <w:b/>
          <w:sz w:val="20"/>
          <w:szCs w:val="22"/>
          <w:lang w:val="en-US"/>
        </w:rPr>
        <w:t>h</w:t>
      </w:r>
      <w:r w:rsidRPr="00BE7AA6">
        <w:rPr>
          <w:b/>
          <w:sz w:val="20"/>
          <w:szCs w:val="22"/>
          <w:lang w:val="en-US"/>
        </w:rPr>
        <w:t xml:space="preserve">igh performing inter-RAT mobility </w:t>
      </w:r>
      <w:r>
        <w:rPr>
          <w:b/>
          <w:sz w:val="20"/>
          <w:szCs w:val="22"/>
          <w:lang w:val="en-US"/>
        </w:rPr>
        <w:t xml:space="preserve">solutions </w:t>
      </w:r>
      <w:r w:rsidRPr="00BE7AA6">
        <w:rPr>
          <w:b/>
          <w:sz w:val="20"/>
          <w:szCs w:val="22"/>
          <w:lang w:val="en-US"/>
        </w:rPr>
        <w:t>between NR and LTE</w:t>
      </w:r>
      <w:r w:rsidRPr="0057064B">
        <w:rPr>
          <w:sz w:val="20"/>
          <w:szCs w:val="22"/>
          <w:lang w:val="en-US"/>
        </w:rPr>
        <w:t xml:space="preserve"> </w:t>
      </w:r>
      <w:r>
        <w:rPr>
          <w:sz w:val="20"/>
          <w:szCs w:val="22"/>
          <w:lang w:val="en-US"/>
        </w:rPr>
        <w:t xml:space="preserve">should be designed. That is particular important in scenarios with coverage islands where an active UE leaves the NR coverage layer and enters LTE coverage or in scenarios with overlapping coverage layers but with NR deployed in very high frequencies where coverage is more spotty. </w:t>
      </w:r>
    </w:p>
    <w:p w14:paraId="55EACCE9" w14:textId="54089AD2" w:rsidR="005616EF" w:rsidRDefault="008E3FAE" w:rsidP="005616EF">
      <w:pPr>
        <w:pStyle w:val="Paragraph"/>
        <w:rPr>
          <w:sz w:val="20"/>
          <w:szCs w:val="22"/>
          <w:lang w:val="en-US"/>
        </w:rPr>
      </w:pPr>
      <w:r>
        <w:rPr>
          <w:sz w:val="20"/>
          <w:szCs w:val="22"/>
          <w:lang w:val="en-US"/>
        </w:rPr>
        <w:t xml:space="preserve">The same requirements listed </w:t>
      </w:r>
      <w:r w:rsidR="00AD413A">
        <w:rPr>
          <w:sz w:val="20"/>
          <w:szCs w:val="22"/>
          <w:lang w:val="en-US"/>
        </w:rPr>
        <w:fldChar w:fldCharType="begin"/>
      </w:r>
      <w:r w:rsidR="00AD413A">
        <w:rPr>
          <w:sz w:val="20"/>
          <w:szCs w:val="22"/>
          <w:lang w:val="en-US"/>
        </w:rPr>
        <w:instrText xml:space="preserve"> REF _Ref447307281 \r \h </w:instrText>
      </w:r>
      <w:r w:rsidR="00AD413A">
        <w:rPr>
          <w:sz w:val="20"/>
          <w:szCs w:val="22"/>
          <w:lang w:val="en-US"/>
        </w:rPr>
      </w:r>
      <w:r w:rsidR="00AD413A">
        <w:rPr>
          <w:sz w:val="20"/>
          <w:szCs w:val="22"/>
          <w:lang w:val="en-US"/>
        </w:rPr>
        <w:fldChar w:fldCharType="separate"/>
      </w:r>
      <w:r w:rsidR="00AD413A">
        <w:rPr>
          <w:sz w:val="20"/>
          <w:szCs w:val="22"/>
          <w:lang w:val="en-US"/>
        </w:rPr>
        <w:t>[4]</w:t>
      </w:r>
      <w:r w:rsidR="00AD413A">
        <w:rPr>
          <w:sz w:val="20"/>
          <w:szCs w:val="22"/>
          <w:lang w:val="en-US"/>
        </w:rPr>
        <w:fldChar w:fldCharType="end"/>
      </w:r>
      <w:r>
        <w:rPr>
          <w:sz w:val="20"/>
          <w:szCs w:val="22"/>
          <w:lang w:val="en-US"/>
        </w:rPr>
        <w:t xml:space="preserve"> for the UP design should also be considered for the CP design. </w:t>
      </w:r>
      <w:r w:rsidR="005616EF">
        <w:rPr>
          <w:sz w:val="20"/>
          <w:szCs w:val="22"/>
          <w:lang w:val="en-US"/>
        </w:rPr>
        <w:t xml:space="preserve">These solutions should target the </w:t>
      </w:r>
      <w:r w:rsidR="005616EF" w:rsidRPr="0057064B">
        <w:rPr>
          <w:sz w:val="20"/>
          <w:szCs w:val="22"/>
          <w:lang w:val="en-US"/>
        </w:rPr>
        <w:t>following:</w:t>
      </w:r>
    </w:p>
    <w:p w14:paraId="2BC3EF52" w14:textId="01A47EB5" w:rsidR="005616EF" w:rsidRPr="0057064B" w:rsidRDefault="005616EF" w:rsidP="005616EF">
      <w:pPr>
        <w:pStyle w:val="Paragraph"/>
        <w:numPr>
          <w:ilvl w:val="0"/>
          <w:numId w:val="51"/>
        </w:numPr>
        <w:rPr>
          <w:sz w:val="20"/>
          <w:szCs w:val="22"/>
          <w:lang w:val="en-US"/>
        </w:rPr>
      </w:pPr>
      <w:r>
        <w:rPr>
          <w:sz w:val="20"/>
          <w:szCs w:val="22"/>
          <w:lang w:val="en-US"/>
        </w:rPr>
        <w:t xml:space="preserve">High robustness against </w:t>
      </w:r>
      <w:r w:rsidRPr="0057064B">
        <w:rPr>
          <w:sz w:val="20"/>
          <w:szCs w:val="22"/>
          <w:lang w:val="en-US"/>
        </w:rPr>
        <w:t>packet losses</w:t>
      </w:r>
      <w:r>
        <w:rPr>
          <w:sz w:val="20"/>
          <w:szCs w:val="22"/>
          <w:lang w:val="en-US"/>
        </w:rPr>
        <w:t xml:space="preserve"> (lossless), handover (HO) and radio link failures (RLF)</w:t>
      </w:r>
      <w:r w:rsidRPr="0057064B">
        <w:rPr>
          <w:sz w:val="20"/>
          <w:szCs w:val="22"/>
          <w:lang w:val="en-US"/>
        </w:rPr>
        <w:t>;</w:t>
      </w:r>
    </w:p>
    <w:p w14:paraId="16C0ED1D" w14:textId="77777777" w:rsidR="005616EF" w:rsidRPr="00EA243E" w:rsidRDefault="005616EF" w:rsidP="005616EF">
      <w:pPr>
        <w:pStyle w:val="Paragraph"/>
        <w:numPr>
          <w:ilvl w:val="0"/>
          <w:numId w:val="51"/>
        </w:numPr>
        <w:rPr>
          <w:sz w:val="20"/>
          <w:szCs w:val="22"/>
          <w:lang w:val="en-US"/>
        </w:rPr>
      </w:pPr>
      <w:r>
        <w:rPr>
          <w:sz w:val="20"/>
          <w:szCs w:val="22"/>
          <w:lang w:val="en-US"/>
        </w:rPr>
        <w:t xml:space="preserve">Low </w:t>
      </w:r>
      <w:r w:rsidRPr="0057064B">
        <w:rPr>
          <w:sz w:val="20"/>
          <w:szCs w:val="22"/>
          <w:lang w:val="en-US"/>
        </w:rPr>
        <w:t>interruption delays</w:t>
      </w:r>
      <w:r>
        <w:rPr>
          <w:sz w:val="20"/>
          <w:szCs w:val="22"/>
          <w:lang w:val="en-US"/>
        </w:rPr>
        <w:t xml:space="preserve"> (seamless)</w:t>
      </w:r>
      <w:r w:rsidRPr="0057064B">
        <w:rPr>
          <w:sz w:val="20"/>
          <w:szCs w:val="22"/>
          <w:lang w:val="en-US"/>
        </w:rPr>
        <w:t>;</w:t>
      </w:r>
    </w:p>
    <w:p w14:paraId="02554097" w14:textId="77777777" w:rsidR="005616EF" w:rsidRPr="0057064B" w:rsidRDefault="005616EF" w:rsidP="005616EF">
      <w:pPr>
        <w:pStyle w:val="Paragraph"/>
        <w:numPr>
          <w:ilvl w:val="0"/>
          <w:numId w:val="51"/>
        </w:numPr>
        <w:rPr>
          <w:sz w:val="20"/>
          <w:szCs w:val="22"/>
          <w:lang w:val="en-US"/>
        </w:rPr>
      </w:pPr>
      <w:r>
        <w:rPr>
          <w:sz w:val="20"/>
          <w:szCs w:val="22"/>
          <w:lang w:val="en-US"/>
        </w:rPr>
        <w:t xml:space="preserve">Low </w:t>
      </w:r>
      <w:r w:rsidRPr="0057064B">
        <w:rPr>
          <w:sz w:val="20"/>
          <w:szCs w:val="22"/>
          <w:lang w:val="en-US"/>
        </w:rPr>
        <w:t>signaling</w:t>
      </w:r>
      <w:r>
        <w:rPr>
          <w:sz w:val="20"/>
          <w:szCs w:val="22"/>
          <w:lang w:val="en-US"/>
        </w:rPr>
        <w:t xml:space="preserve"> overhead</w:t>
      </w:r>
      <w:r w:rsidRPr="0057064B">
        <w:rPr>
          <w:sz w:val="20"/>
          <w:szCs w:val="22"/>
          <w:lang w:val="en-US"/>
        </w:rPr>
        <w:t>:</w:t>
      </w:r>
    </w:p>
    <w:p w14:paraId="1B9B862C" w14:textId="77777777" w:rsidR="005616EF" w:rsidRPr="0057064B" w:rsidRDefault="005616EF" w:rsidP="005616EF">
      <w:pPr>
        <w:pStyle w:val="Paragraph"/>
        <w:numPr>
          <w:ilvl w:val="1"/>
          <w:numId w:val="51"/>
        </w:numPr>
        <w:rPr>
          <w:sz w:val="20"/>
          <w:szCs w:val="22"/>
          <w:lang w:val="en-US"/>
        </w:rPr>
      </w:pPr>
      <w:r w:rsidRPr="0057064B">
        <w:rPr>
          <w:sz w:val="20"/>
          <w:szCs w:val="22"/>
          <w:lang w:val="en-US"/>
        </w:rPr>
        <w:t>a) Between the UE and both radio interfa</w:t>
      </w:r>
      <w:r>
        <w:rPr>
          <w:sz w:val="20"/>
          <w:szCs w:val="22"/>
          <w:lang w:val="en-US"/>
        </w:rPr>
        <w:t>ces i.e. LTE and NR</w:t>
      </w:r>
      <w:r w:rsidRPr="0057064B">
        <w:rPr>
          <w:sz w:val="20"/>
          <w:szCs w:val="22"/>
          <w:lang w:val="en-US"/>
        </w:rPr>
        <w:t>;</w:t>
      </w:r>
    </w:p>
    <w:p w14:paraId="4A99532A" w14:textId="1CBCD978" w:rsidR="00E5597C" w:rsidRPr="00E5597C" w:rsidRDefault="005616EF" w:rsidP="00E35D9F">
      <w:pPr>
        <w:pStyle w:val="Paragraph"/>
        <w:numPr>
          <w:ilvl w:val="1"/>
          <w:numId w:val="51"/>
        </w:numPr>
        <w:rPr>
          <w:sz w:val="20"/>
          <w:szCs w:val="22"/>
          <w:lang w:val="en-US"/>
        </w:rPr>
      </w:pPr>
      <w:r w:rsidRPr="0057064B">
        <w:rPr>
          <w:sz w:val="20"/>
          <w:szCs w:val="22"/>
          <w:lang w:val="en-US"/>
        </w:rPr>
        <w:t>b) Between CN and RAN nodes of NR and LTE.</w:t>
      </w:r>
    </w:p>
    <w:p w14:paraId="5DFCE2CF" w14:textId="4D9A2C61" w:rsidR="00E5597C" w:rsidRPr="008E3FAE" w:rsidRDefault="00E5597C" w:rsidP="00E5597C">
      <w:pPr>
        <w:rPr>
          <w:szCs w:val="22"/>
          <w:lang w:val="en-US"/>
        </w:rPr>
      </w:pPr>
      <w:r w:rsidRPr="005616EF">
        <w:rPr>
          <w:szCs w:val="22"/>
          <w:lang w:val="en-US"/>
        </w:rPr>
        <w:t xml:space="preserve">Inter-RAT mobility for active UEs is currently supported between LTE and UMTS </w:t>
      </w:r>
      <w:r w:rsidR="00E454EB">
        <w:rPr>
          <w:szCs w:val="22"/>
          <w:lang w:val="en-US"/>
        </w:rPr>
        <w:fldChar w:fldCharType="begin"/>
      </w:r>
      <w:r w:rsidR="00E454EB">
        <w:rPr>
          <w:szCs w:val="22"/>
          <w:lang w:val="en-US"/>
        </w:rPr>
        <w:instrText xml:space="preserve"> REF _Ref447308002 \r \h </w:instrText>
      </w:r>
      <w:r w:rsidR="00E454EB">
        <w:rPr>
          <w:szCs w:val="22"/>
          <w:lang w:val="en-US"/>
        </w:rPr>
      </w:r>
      <w:r w:rsidR="00E454EB">
        <w:rPr>
          <w:szCs w:val="22"/>
          <w:lang w:val="en-US"/>
        </w:rPr>
        <w:fldChar w:fldCharType="separate"/>
      </w:r>
      <w:r w:rsidR="00E454EB">
        <w:rPr>
          <w:szCs w:val="22"/>
          <w:lang w:val="en-US"/>
        </w:rPr>
        <w:t>[5]</w:t>
      </w:r>
      <w:r w:rsidR="00E454EB">
        <w:rPr>
          <w:szCs w:val="22"/>
          <w:lang w:val="en-US"/>
        </w:rPr>
        <w:fldChar w:fldCharType="end"/>
      </w:r>
      <w:r w:rsidRPr="005616EF">
        <w:rPr>
          <w:szCs w:val="22"/>
          <w:lang w:val="en-US"/>
        </w:rPr>
        <w:t xml:space="preserve">. However, a handover from one RAT to another requires the full re-establishment of the </w:t>
      </w:r>
      <w:r>
        <w:rPr>
          <w:szCs w:val="22"/>
          <w:lang w:val="en-US"/>
        </w:rPr>
        <w:t xml:space="preserve">CP </w:t>
      </w:r>
      <w:r w:rsidRPr="005616EF">
        <w:rPr>
          <w:szCs w:val="22"/>
          <w:lang w:val="en-US"/>
        </w:rPr>
        <w:t xml:space="preserve">protocol stack in the other RAT. Intra-LTE mobility, on the other hand, has the advantage of benefiting from the possibility to have the </w:t>
      </w:r>
      <w:r>
        <w:rPr>
          <w:szCs w:val="22"/>
          <w:lang w:val="en-US"/>
        </w:rPr>
        <w:t xml:space="preserve">UE context </w:t>
      </w:r>
      <w:r w:rsidRPr="005616EF">
        <w:rPr>
          <w:szCs w:val="22"/>
          <w:lang w:val="en-US"/>
        </w:rPr>
        <w:t>being continued which might reduce the interruption delays</w:t>
      </w:r>
      <w:r>
        <w:rPr>
          <w:szCs w:val="22"/>
          <w:lang w:val="en-US"/>
        </w:rPr>
        <w:t xml:space="preserve"> and UE complexity</w:t>
      </w:r>
      <w:r w:rsidRPr="005616EF">
        <w:rPr>
          <w:szCs w:val="22"/>
          <w:lang w:val="en-US"/>
        </w:rPr>
        <w:t>. Intra-</w:t>
      </w:r>
      <w:r w:rsidR="00834F8F">
        <w:rPr>
          <w:szCs w:val="22"/>
          <w:lang w:val="en-US"/>
        </w:rPr>
        <w:t>eNB</w:t>
      </w:r>
      <w:r w:rsidRPr="005616EF">
        <w:rPr>
          <w:szCs w:val="22"/>
          <w:lang w:val="en-US"/>
        </w:rPr>
        <w:t xml:space="preserve"> mobility also benefits from the fact that a common Core Network connection (for both UP and CP, S1-</w:t>
      </w:r>
      <w:r w:rsidR="00873127">
        <w:rPr>
          <w:szCs w:val="22"/>
          <w:lang w:val="en-US"/>
        </w:rPr>
        <w:t>MME</w:t>
      </w:r>
      <w:r w:rsidRPr="005616EF">
        <w:rPr>
          <w:szCs w:val="22"/>
          <w:lang w:val="en-US"/>
        </w:rPr>
        <w:t xml:space="preserve"> and S1-U) exists so that intra</w:t>
      </w:r>
      <w:r w:rsidR="00834F8F">
        <w:rPr>
          <w:szCs w:val="22"/>
          <w:lang w:val="en-US"/>
        </w:rPr>
        <w:t>-eNB</w:t>
      </w:r>
      <w:r w:rsidRPr="005616EF">
        <w:rPr>
          <w:szCs w:val="22"/>
          <w:lang w:val="en-US"/>
        </w:rPr>
        <w:t xml:space="preserve"> handovers </w:t>
      </w:r>
      <w:r>
        <w:rPr>
          <w:szCs w:val="22"/>
          <w:lang w:val="en-US"/>
        </w:rPr>
        <w:t>can occur without any CN/RAN signaling i.e. possibly transparent to the CN</w:t>
      </w:r>
      <w:r w:rsidRPr="005616EF">
        <w:rPr>
          <w:szCs w:val="22"/>
          <w:lang w:val="en-US"/>
        </w:rPr>
        <w:t>. That would be an advantage especially in co-located deployments of LTE and NR.</w:t>
      </w:r>
    </w:p>
    <w:p w14:paraId="4FE8D069" w14:textId="5D6F8389" w:rsidR="002C1235" w:rsidRDefault="002C1235" w:rsidP="002C1235">
      <w:pPr>
        <w:pStyle w:val="Proposal"/>
      </w:pPr>
      <w:bookmarkStart w:id="4" w:name="_Toc447314850"/>
      <w:bookmarkStart w:id="5" w:name="_Toc447323674"/>
      <w:bookmarkStart w:id="6" w:name="_Toc447325999"/>
      <w:bookmarkStart w:id="7" w:name="_Toc447326222"/>
      <w:bookmarkStart w:id="8" w:name="_Toc447328769"/>
      <w:r>
        <w:t>LTE-</w:t>
      </w:r>
      <w:r w:rsidRPr="002C1235">
        <w:t xml:space="preserve">NR inter-RAT mobility should target </w:t>
      </w:r>
      <w:r w:rsidR="006C5DBA">
        <w:t>high robustness against packet losses and failures, low interruption delays and low signalling overhead</w:t>
      </w:r>
      <w:r w:rsidR="00B14820">
        <w:t>.</w:t>
      </w:r>
      <w:bookmarkEnd w:id="4"/>
      <w:bookmarkEnd w:id="5"/>
      <w:bookmarkEnd w:id="6"/>
      <w:bookmarkEnd w:id="7"/>
      <w:bookmarkEnd w:id="8"/>
    </w:p>
    <w:p w14:paraId="0C837268" w14:textId="06572AE4" w:rsidR="00E5597C" w:rsidRPr="00E5597C" w:rsidRDefault="00E5597C" w:rsidP="00E35D9F">
      <w:pPr>
        <w:pStyle w:val="Heading3"/>
      </w:pPr>
      <w:r>
        <w:t>High performing Inter-RAT mobility (Inactive UEs)</w:t>
      </w:r>
    </w:p>
    <w:p w14:paraId="6DDFA72D" w14:textId="28E5ECC7" w:rsidR="004D6C12" w:rsidRDefault="00E5597C" w:rsidP="006C5DBA">
      <w:pPr>
        <w:rPr>
          <w:szCs w:val="22"/>
          <w:lang w:val="en-US"/>
        </w:rPr>
      </w:pPr>
      <w:r>
        <w:rPr>
          <w:szCs w:val="22"/>
          <w:lang w:val="en-US"/>
        </w:rPr>
        <w:t xml:space="preserve">The </w:t>
      </w:r>
      <w:r w:rsidR="008E3FAE">
        <w:rPr>
          <w:szCs w:val="22"/>
          <w:lang w:val="en-US"/>
        </w:rPr>
        <w:t xml:space="preserve">requirements </w:t>
      </w:r>
      <w:r>
        <w:rPr>
          <w:szCs w:val="22"/>
          <w:lang w:val="en-US"/>
        </w:rPr>
        <w:t xml:space="preserve">listed in 2.1.1 were mainly </w:t>
      </w:r>
      <w:r w:rsidR="008E3FAE">
        <w:rPr>
          <w:szCs w:val="22"/>
          <w:lang w:val="en-US"/>
        </w:rPr>
        <w:t xml:space="preserve">aiming </w:t>
      </w:r>
      <w:r w:rsidR="00084170">
        <w:rPr>
          <w:szCs w:val="22"/>
          <w:lang w:val="en-US"/>
        </w:rPr>
        <w:t xml:space="preserve">a high performing </w:t>
      </w:r>
      <w:r w:rsidR="008E3FAE">
        <w:rPr>
          <w:szCs w:val="22"/>
          <w:lang w:val="en-US"/>
        </w:rPr>
        <w:t>inter-RAT mobility in</w:t>
      </w:r>
      <w:r w:rsidR="00084170">
        <w:rPr>
          <w:szCs w:val="22"/>
          <w:lang w:val="en-US"/>
        </w:rPr>
        <w:t xml:space="preserve"> active mode, both for LTE and NR, and impact the design of both UP and CP. </w:t>
      </w:r>
      <w:r>
        <w:rPr>
          <w:szCs w:val="22"/>
          <w:lang w:val="en-US"/>
        </w:rPr>
        <w:t>However, a</w:t>
      </w:r>
      <w:r w:rsidR="00084170">
        <w:rPr>
          <w:szCs w:val="22"/>
          <w:lang w:val="en-US"/>
        </w:rPr>
        <w:t>n equally important issue is the inter-RAT mobility of inactive UEs</w:t>
      </w:r>
      <w:r w:rsidR="00F20D33">
        <w:rPr>
          <w:szCs w:val="22"/>
          <w:lang w:val="en-US"/>
        </w:rPr>
        <w:t>, which mainly impacts the CP design</w:t>
      </w:r>
      <w:r w:rsidR="00084170">
        <w:rPr>
          <w:szCs w:val="22"/>
          <w:lang w:val="en-US"/>
        </w:rPr>
        <w:t xml:space="preserve">. </w:t>
      </w:r>
    </w:p>
    <w:p w14:paraId="53A41756" w14:textId="0141CBDC" w:rsidR="006C5DBA" w:rsidRDefault="00084170" w:rsidP="00226AA9">
      <w:pPr>
        <w:rPr>
          <w:szCs w:val="22"/>
          <w:lang w:val="en-US"/>
        </w:rPr>
      </w:pPr>
      <w:r>
        <w:rPr>
          <w:szCs w:val="22"/>
          <w:lang w:val="en-US"/>
        </w:rPr>
        <w:t xml:space="preserve">Considering the </w:t>
      </w:r>
      <w:r w:rsidR="00F20D33">
        <w:rPr>
          <w:szCs w:val="22"/>
          <w:lang w:val="en-US"/>
        </w:rPr>
        <w:t xml:space="preserve">network </w:t>
      </w:r>
      <w:r>
        <w:rPr>
          <w:szCs w:val="22"/>
          <w:lang w:val="en-US"/>
        </w:rPr>
        <w:t xml:space="preserve">scenarios just described, </w:t>
      </w:r>
      <w:r w:rsidR="00F20D33">
        <w:rPr>
          <w:szCs w:val="22"/>
          <w:lang w:val="en-US"/>
        </w:rPr>
        <w:t>it is likely that inactive UEs might be sometimes only covered by a single RAT and/or even in the case both coverage layers are available, some priority applies.</w:t>
      </w:r>
      <w:r w:rsidR="00E5597C">
        <w:rPr>
          <w:szCs w:val="22"/>
          <w:lang w:val="en-US"/>
        </w:rPr>
        <w:t xml:space="preserve"> </w:t>
      </w:r>
      <w:r w:rsidR="00F20D33">
        <w:rPr>
          <w:szCs w:val="22"/>
          <w:lang w:val="en-US"/>
        </w:rPr>
        <w:t>Therefore, in early scenarios with NR coverage islands, the UE will likely be moving between coverage layers and the CP design should allow the move</w:t>
      </w:r>
      <w:r w:rsidR="007752EB">
        <w:rPr>
          <w:szCs w:val="22"/>
          <w:lang w:val="en-US"/>
        </w:rPr>
        <w:t>ment</w:t>
      </w:r>
      <w:r w:rsidR="00F20D33">
        <w:rPr>
          <w:szCs w:val="22"/>
          <w:lang w:val="en-US"/>
        </w:rPr>
        <w:t xml:space="preserve"> between these layers without notifying the </w:t>
      </w:r>
      <w:r w:rsidR="007752EB">
        <w:rPr>
          <w:szCs w:val="22"/>
          <w:lang w:val="en-US"/>
        </w:rPr>
        <w:t xml:space="preserve">core </w:t>
      </w:r>
      <w:r w:rsidR="00F20D33">
        <w:rPr>
          <w:szCs w:val="22"/>
          <w:lang w:val="en-US"/>
        </w:rPr>
        <w:t xml:space="preserve">network. </w:t>
      </w:r>
      <w:r w:rsidR="004D6C12">
        <w:rPr>
          <w:szCs w:val="22"/>
          <w:lang w:val="en-US"/>
        </w:rPr>
        <w:t xml:space="preserve">As discussed earlier, there will also be scenarios where LTE is deployed in lower frequencies while NR is deployed in higher frequencies where coverage is spottier. Therefore, </w:t>
      </w:r>
      <w:r w:rsidR="00226AA9">
        <w:rPr>
          <w:szCs w:val="22"/>
          <w:lang w:val="en-US"/>
        </w:rPr>
        <w:t xml:space="preserve">it would be preferable if necessary signaling </w:t>
      </w:r>
      <w:r w:rsidR="004D6C12">
        <w:rPr>
          <w:szCs w:val="22"/>
          <w:lang w:val="en-US"/>
        </w:rPr>
        <w:t>when moving within the different coverage layers</w:t>
      </w:r>
      <w:r w:rsidR="00226AA9">
        <w:rPr>
          <w:szCs w:val="22"/>
          <w:lang w:val="en-US"/>
        </w:rPr>
        <w:t xml:space="preserve"> could be minimized. This topic is further discussed in </w:t>
      </w:r>
      <w:r w:rsidR="00226AA9">
        <w:rPr>
          <w:szCs w:val="22"/>
          <w:lang w:val="en-US"/>
        </w:rPr>
        <w:fldChar w:fldCharType="begin"/>
      </w:r>
      <w:r w:rsidR="00226AA9">
        <w:rPr>
          <w:szCs w:val="22"/>
          <w:lang w:val="en-US"/>
        </w:rPr>
        <w:instrText xml:space="preserve"> REF _Ref447326013 \n \h </w:instrText>
      </w:r>
      <w:r w:rsidR="00226AA9">
        <w:rPr>
          <w:szCs w:val="22"/>
          <w:lang w:val="en-US"/>
        </w:rPr>
      </w:r>
      <w:r w:rsidR="00226AA9">
        <w:rPr>
          <w:szCs w:val="22"/>
          <w:lang w:val="en-US"/>
        </w:rPr>
        <w:fldChar w:fldCharType="separate"/>
      </w:r>
      <w:r w:rsidR="00226AA9">
        <w:rPr>
          <w:szCs w:val="22"/>
          <w:lang w:val="en-US"/>
        </w:rPr>
        <w:t>[8]</w:t>
      </w:r>
      <w:r w:rsidR="00226AA9">
        <w:rPr>
          <w:szCs w:val="22"/>
          <w:lang w:val="en-US"/>
        </w:rPr>
        <w:fldChar w:fldCharType="end"/>
      </w:r>
      <w:r w:rsidR="004D6C12">
        <w:rPr>
          <w:szCs w:val="22"/>
          <w:lang w:val="en-US"/>
        </w:rPr>
        <w:t>.</w:t>
      </w:r>
    </w:p>
    <w:p w14:paraId="019FE53C" w14:textId="77777777" w:rsidR="006C5DBA" w:rsidRPr="0057064B" w:rsidRDefault="006C5DBA" w:rsidP="00E35D9F">
      <w:pPr>
        <w:rPr>
          <w:szCs w:val="22"/>
          <w:lang w:val="en-US"/>
        </w:rPr>
      </w:pPr>
    </w:p>
    <w:p w14:paraId="07FB9518" w14:textId="028C198B" w:rsidR="00AC54D0" w:rsidRDefault="00AC54D0" w:rsidP="00AC54D0">
      <w:pPr>
        <w:pStyle w:val="Heading3"/>
      </w:pPr>
      <w:r>
        <w:t>Multi-RAT Aggregation</w:t>
      </w:r>
    </w:p>
    <w:p w14:paraId="499D6348" w14:textId="7377F1BA" w:rsidR="000C4FDC" w:rsidRDefault="00AC54D0" w:rsidP="005E360A">
      <w:r>
        <w:t xml:space="preserve">According to </w:t>
      </w:r>
      <w:r>
        <w:fldChar w:fldCharType="begin"/>
      </w:r>
      <w:r>
        <w:instrText xml:space="preserve"> REF _Ref446848631 \n \h </w:instrText>
      </w:r>
      <w:r>
        <w:fldChar w:fldCharType="separate"/>
      </w:r>
      <w:r>
        <w:t>[2]</w:t>
      </w:r>
      <w:r>
        <w:fldChar w:fldCharType="end"/>
      </w:r>
      <w:r>
        <w:t xml:space="preserve"> the RAN architecture shall support multi-RAT aggregation / aggregation of data flows via at least Dual Connectivity between LTE and NR, supporting both collocated and non-collocated site deployments.</w:t>
      </w:r>
    </w:p>
    <w:p w14:paraId="3EE8B245" w14:textId="592B9BBE" w:rsidR="00D51C17" w:rsidRDefault="000C4FDC" w:rsidP="00607337">
      <w:r>
        <w:t xml:space="preserve">Different RRC features exploiting </w:t>
      </w:r>
      <w:r w:rsidR="005E360A">
        <w:t xml:space="preserve">Dual Connectivity in LTE </w:t>
      </w:r>
      <w:r>
        <w:t xml:space="preserve">have been </w:t>
      </w:r>
      <w:r w:rsidR="005E360A">
        <w:t>studied</w:t>
      </w:r>
      <w:r w:rsidR="00AE6033">
        <w:t xml:space="preserve"> in </w:t>
      </w:r>
      <w:r w:rsidR="00AE6033">
        <w:fldChar w:fldCharType="begin"/>
      </w:r>
      <w:r w:rsidR="00AE6033">
        <w:instrText xml:space="preserve"> REF _Ref447312485 \n \h </w:instrText>
      </w:r>
      <w:r w:rsidR="00AE6033">
        <w:fldChar w:fldCharType="separate"/>
      </w:r>
      <w:r w:rsidR="00AE6033">
        <w:t>[6]</w:t>
      </w:r>
      <w:r w:rsidR="00AE6033">
        <w:fldChar w:fldCharType="end"/>
      </w:r>
      <w:r w:rsidR="005E360A">
        <w:t xml:space="preserve"> </w:t>
      </w:r>
      <w:r>
        <w:t>and</w:t>
      </w:r>
      <w:r w:rsidR="00586499">
        <w:t xml:space="preserve"> the C-plane alternatives</w:t>
      </w:r>
      <w:r>
        <w:t xml:space="preserve"> </w:t>
      </w:r>
      <w:r w:rsidR="00686F7A">
        <w:t xml:space="preserve">shown in </w:t>
      </w:r>
      <w:r w:rsidR="00686F7A">
        <w:fldChar w:fldCharType="begin"/>
      </w:r>
      <w:r w:rsidR="00686F7A">
        <w:instrText xml:space="preserve"> REF _Ref447299483 \h </w:instrText>
      </w:r>
      <w:r w:rsidR="00686F7A">
        <w:fldChar w:fldCharType="separate"/>
      </w:r>
      <w:r w:rsidR="00686F7A">
        <w:t xml:space="preserve">Figure </w:t>
      </w:r>
      <w:r w:rsidR="00686F7A">
        <w:rPr>
          <w:noProof/>
        </w:rPr>
        <w:t>2</w:t>
      </w:r>
      <w:r w:rsidR="00686F7A">
        <w:fldChar w:fldCharType="end"/>
      </w:r>
      <w:r w:rsidR="00686F7A">
        <w:t xml:space="preserve"> </w:t>
      </w:r>
      <w:r w:rsidR="00AE6033">
        <w:t>should be revisited</w:t>
      </w:r>
      <w:r w:rsidR="00735AF5">
        <w:t xml:space="preserve"> </w:t>
      </w:r>
      <w:r w:rsidR="00AE6033">
        <w:t>when</w:t>
      </w:r>
      <w:r w:rsidR="00586499">
        <w:t xml:space="preserve"> </w:t>
      </w:r>
      <w:r w:rsidR="00AE6033">
        <w:t>studying the LTE – NR</w:t>
      </w:r>
      <w:r w:rsidR="00607337">
        <w:t xml:space="preserve"> tight integration</w:t>
      </w:r>
      <w:r>
        <w:t>.</w:t>
      </w:r>
      <w:r w:rsidR="00607337">
        <w:t xml:space="preserve"> </w:t>
      </w:r>
    </w:p>
    <w:p w14:paraId="2D90F556" w14:textId="7BDEFB9F" w:rsidR="006E64AA" w:rsidRDefault="006E64AA" w:rsidP="006E64AA">
      <w:pPr>
        <w:keepNext/>
        <w:jc w:val="center"/>
      </w:pPr>
      <w:r>
        <w:rPr>
          <w:lang w:eastAsia="ja-JP"/>
        </w:rPr>
        <w:object w:dxaOrig="5180" w:dyaOrig="3466" w14:anchorId="370D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pt;height:173.3pt" o:ole="">
            <v:imagedata r:id="rId15" o:title=""/>
          </v:shape>
          <o:OLEObject Type="Embed" ProgID="Visio.Drawing.11" ShapeID="_x0000_i1025" DrawAspect="Content" ObjectID="_1521070600" r:id="rId16"/>
        </w:object>
      </w:r>
    </w:p>
    <w:p w14:paraId="196D19E0" w14:textId="3C8A6F4F" w:rsidR="006E64AA" w:rsidRDefault="006E64AA" w:rsidP="00D204F7">
      <w:pPr>
        <w:pStyle w:val="Caption"/>
      </w:pPr>
      <w:bookmarkStart w:id="9" w:name="_Ref447299483"/>
      <w:r>
        <w:t xml:space="preserve">Figure </w:t>
      </w:r>
      <w:r>
        <w:fldChar w:fldCharType="begin"/>
      </w:r>
      <w:r>
        <w:instrText xml:space="preserve"> SEQ Figure \* ARABIC </w:instrText>
      </w:r>
      <w:r>
        <w:fldChar w:fldCharType="separate"/>
      </w:r>
      <w:r>
        <w:rPr>
          <w:noProof/>
        </w:rPr>
        <w:t>2</w:t>
      </w:r>
      <w:r>
        <w:fldChar w:fldCharType="end"/>
      </w:r>
      <w:bookmarkEnd w:id="9"/>
      <w:r>
        <w:t xml:space="preserve"> </w:t>
      </w:r>
      <w:bookmarkStart w:id="10" w:name="_Ref447321330"/>
      <w:r w:rsidR="00D204F7">
        <w:t>Radio interface C-plane architecture alternatives for dual connectivity</w:t>
      </w:r>
      <w:bookmarkEnd w:id="10"/>
    </w:p>
    <w:p w14:paraId="3BC9DD75" w14:textId="71CD6261" w:rsidR="009A2779" w:rsidRDefault="009A2779" w:rsidP="009A2779">
      <w:r>
        <w:t>F</w:t>
      </w:r>
      <w:r w:rsidRPr="00840A40">
        <w:t xml:space="preserve">or the control plane, RAN2 decided in the context of Dual Connectivity </w:t>
      </w:r>
      <w:r>
        <w:t xml:space="preserve">for LTE </w:t>
      </w:r>
      <w:r w:rsidRPr="00840A40">
        <w:t>that the UE maintains only a single RRC Connection towards the RAN even though the UE has serving cells with two eNBs</w:t>
      </w:r>
      <w:r>
        <w:t xml:space="preserve"> (MeNB and SeNB). That solution enables a fast setup of the secondary eNB via a single RRCConnectionReconfiguration message. The setup time should be as fast as (preferably shorter than) the existing one for intra-LTE dual connectivity. A single RRC connection also enables a low complexity state handling at the UE. Dual connectivity is simply seen as a configuration for RRC connected state which does not require the establishment of a new state machine. A low complexity state handling shall also be supported for the multi-RAT integration.</w:t>
      </w:r>
    </w:p>
    <w:p w14:paraId="425CADBF" w14:textId="7A6DBB44" w:rsidR="00346DB6" w:rsidRDefault="00346DB6" w:rsidP="00346DB6">
      <w:r>
        <w:t>It should also be taken into account that in order to efficiently use the resources from NR and LTE the solution should allow a fast establishment of Dual Connectivity either when the UE is in NR or when the UE is in LTE. This should be supported in order to allow the network to quickly use available resources according to the dynamics of the traffic.</w:t>
      </w:r>
    </w:p>
    <w:p w14:paraId="3CA95D8A" w14:textId="2B2B59F2" w:rsidR="00B14820" w:rsidRPr="001175E7" w:rsidRDefault="00B14820" w:rsidP="00B14820">
      <w:pPr>
        <w:pStyle w:val="Proposal"/>
      </w:pPr>
      <w:bookmarkStart w:id="11" w:name="_Toc447314852"/>
      <w:bookmarkStart w:id="12" w:name="_Toc447323676"/>
      <w:bookmarkStart w:id="13" w:name="_Toc447326000"/>
      <w:bookmarkStart w:id="14" w:name="_Toc447326223"/>
      <w:bookmarkStart w:id="15" w:name="_Toc447328770"/>
      <w:r>
        <w:t>The RRC design for the tight integration should allow a quick secondary RAT establishment of NR or LTE (at least as quick as current Release 12 solution) and low complexity state handling.</w:t>
      </w:r>
      <w:bookmarkEnd w:id="11"/>
      <w:bookmarkEnd w:id="12"/>
      <w:bookmarkEnd w:id="13"/>
      <w:bookmarkEnd w:id="14"/>
      <w:bookmarkEnd w:id="15"/>
    </w:p>
    <w:p w14:paraId="225EBD97" w14:textId="6EA36514" w:rsidR="00E3747A" w:rsidRPr="00BE5419" w:rsidRDefault="00531FAF" w:rsidP="008F5CCA">
      <w:r>
        <w:t>Aside from aggregating carriers in different eNBs, it was also discussed during the D</w:t>
      </w:r>
      <w:r w:rsidR="007163AE">
        <w:t xml:space="preserve">ual </w:t>
      </w:r>
      <w:r>
        <w:t>C</w:t>
      </w:r>
      <w:r w:rsidR="007163AE">
        <w:t>onnectivity</w:t>
      </w:r>
      <w:r w:rsidR="00D46E03">
        <w:t xml:space="preserve"> </w:t>
      </w:r>
      <w:r>
        <w:t xml:space="preserve">study item to support sending </w:t>
      </w:r>
      <w:r w:rsidR="008F5CCA">
        <w:t>RRC message</w:t>
      </w:r>
      <w:r w:rsidR="00BE5419">
        <w:t>s</w:t>
      </w:r>
      <w:r w:rsidR="008F5CCA">
        <w:t xml:space="preserve"> via both MeNB and SeNB</w:t>
      </w:r>
      <w:r w:rsidR="009861CA">
        <w:t xml:space="preserve"> (referred to as "RRC diversity"</w:t>
      </w:r>
      <w:r>
        <w:t>, but due to lack of time it was down prioritized and left out of the work item</w:t>
      </w:r>
      <w:r w:rsidR="008F5CCA">
        <w:t>.</w:t>
      </w:r>
      <w:r w:rsidR="00BE5419">
        <w:t xml:space="preserve"> </w:t>
      </w:r>
      <w:r w:rsidR="008F5CCA">
        <w:t xml:space="preserve">However, </w:t>
      </w:r>
      <w:r w:rsidR="009861CA">
        <w:t xml:space="preserve">with requirements on </w:t>
      </w:r>
      <w:r w:rsidR="00BE5419">
        <w:t>ultra-reliability</w:t>
      </w:r>
      <w:r w:rsidR="009861CA">
        <w:t>,</w:t>
      </w:r>
      <w:r w:rsidR="00BE5419">
        <w:t xml:space="preserve"> low latency </w:t>
      </w:r>
      <w:r w:rsidR="008F5CCA">
        <w:t xml:space="preserve">and robustness </w:t>
      </w:r>
      <w:r w:rsidR="00823C7F">
        <w:t xml:space="preserve">of </w:t>
      </w:r>
      <w:r w:rsidR="008F5CCA">
        <w:t xml:space="preserve">NR </w:t>
      </w:r>
      <w:r w:rsidR="001E708F">
        <w:fldChar w:fldCharType="begin"/>
      </w:r>
      <w:r w:rsidR="001E708F">
        <w:instrText xml:space="preserve"> REF _Ref447309424 \n \h </w:instrText>
      </w:r>
      <w:r w:rsidR="001E708F">
        <w:fldChar w:fldCharType="separate"/>
      </w:r>
      <w:r w:rsidR="001E708F">
        <w:t>[1]</w:t>
      </w:r>
      <w:r w:rsidR="001E708F">
        <w:fldChar w:fldCharType="end"/>
      </w:r>
      <w:r w:rsidR="008F5CCA">
        <w:t xml:space="preserve"> </w:t>
      </w:r>
      <w:r w:rsidR="009861CA">
        <w:t xml:space="preserve">we believe that </w:t>
      </w:r>
      <w:r w:rsidR="008F5CCA">
        <w:t xml:space="preserve">RRC diversity </w:t>
      </w:r>
      <w:r w:rsidR="009861CA">
        <w:t>is an important feature to use</w:t>
      </w:r>
      <w:r w:rsidR="008F5CCA">
        <w:t xml:space="preserve">. </w:t>
      </w:r>
      <w:r w:rsidR="007E298A">
        <w:t xml:space="preserve">Another reason </w:t>
      </w:r>
      <w:r w:rsidR="009861CA">
        <w:t>for supporting RRC diversity</w:t>
      </w:r>
      <w:r w:rsidR="007E298A">
        <w:t xml:space="preserve"> is that in </w:t>
      </w:r>
      <w:r w:rsidR="00823C7F">
        <w:t xml:space="preserve">the case of high frequency </w:t>
      </w:r>
      <w:r w:rsidR="007E298A">
        <w:t>deployments</w:t>
      </w:r>
      <w:r w:rsidR="00823C7F">
        <w:t>,</w:t>
      </w:r>
      <w:r w:rsidR="007E298A">
        <w:t xml:space="preserve"> NR </w:t>
      </w:r>
      <w:r w:rsidR="008F5CCA">
        <w:t xml:space="preserve">will rely massively on beamforming </w:t>
      </w:r>
      <w:r w:rsidR="00241E63">
        <w:t>where</w:t>
      </w:r>
      <w:r w:rsidR="008F5CCA">
        <w:t xml:space="preserve"> </w:t>
      </w:r>
      <w:r w:rsidR="007E298A">
        <w:t xml:space="preserve">fast </w:t>
      </w:r>
      <w:r w:rsidR="008F5CCA">
        <w:t>SINR drops may occur due to link blockage and higher penetration loss.</w:t>
      </w:r>
    </w:p>
    <w:p w14:paraId="7474E104" w14:textId="2C435762" w:rsidR="00E3747A" w:rsidRPr="007E298A" w:rsidRDefault="00BE5419" w:rsidP="00735AF5">
      <w:pPr>
        <w:pStyle w:val="Proposal"/>
      </w:pPr>
      <w:bookmarkStart w:id="16" w:name="_Toc447314853"/>
      <w:bookmarkStart w:id="17" w:name="_Toc447323677"/>
      <w:bookmarkStart w:id="18" w:name="_Toc447326001"/>
      <w:bookmarkStart w:id="19" w:name="_Toc447326224"/>
      <w:bookmarkStart w:id="20" w:name="_Toc447328771"/>
      <w:r w:rsidRPr="008F5CCA">
        <w:t xml:space="preserve">RRC diversity </w:t>
      </w:r>
      <w:r w:rsidR="007163AE">
        <w:t>should be supported by the tight integration of NR and LTE</w:t>
      </w:r>
      <w:r w:rsidR="00647EE2">
        <w:t>.</w:t>
      </w:r>
      <w:bookmarkEnd w:id="16"/>
      <w:bookmarkEnd w:id="17"/>
      <w:bookmarkEnd w:id="18"/>
      <w:bookmarkEnd w:id="19"/>
      <w:bookmarkEnd w:id="20"/>
    </w:p>
    <w:p w14:paraId="4FA683FC" w14:textId="31A75D2E" w:rsidR="00047F1B" w:rsidRPr="00E35D9F" w:rsidRDefault="00BD0FB0" w:rsidP="004F1B01">
      <w:pPr>
        <w:pStyle w:val="Heading2"/>
      </w:pPr>
      <w:r>
        <w:t xml:space="preserve">Control </w:t>
      </w:r>
      <w:r w:rsidRPr="00FC51D7">
        <w:t>p</w:t>
      </w:r>
      <w:r w:rsidR="00A60369">
        <w:t>lane</w:t>
      </w:r>
      <w:r>
        <w:t xml:space="preserve"> architecture</w:t>
      </w:r>
    </w:p>
    <w:p w14:paraId="349E8185" w14:textId="0BDD7FA2" w:rsidR="00BD0FB0" w:rsidRPr="00BD0FB0" w:rsidRDefault="00BD0FB0" w:rsidP="00BD0FB0">
      <w:pPr>
        <w:rPr>
          <w:rFonts w:eastAsia="Malgun Gothic"/>
          <w:lang w:val="en-US"/>
        </w:rPr>
      </w:pPr>
      <w:r w:rsidRPr="00BD0FB0">
        <w:rPr>
          <w:lang w:val="en-US"/>
        </w:rPr>
        <w:t xml:space="preserve">In this section, potential CP architectures to support </w:t>
      </w:r>
      <w:r>
        <w:rPr>
          <w:lang w:val="en-US"/>
        </w:rPr>
        <w:t>interworking are discussed.</w:t>
      </w:r>
      <w:r w:rsidRPr="00BD0FB0">
        <w:rPr>
          <w:lang w:val="en-US"/>
        </w:rPr>
        <w:t xml:space="preserve"> </w:t>
      </w:r>
    </w:p>
    <w:p w14:paraId="3FDB8F20" w14:textId="359BA08C" w:rsidR="00BD0FB0" w:rsidRDefault="00BD0FB0" w:rsidP="00735AF5">
      <w:pPr>
        <w:pStyle w:val="Heading3"/>
        <w:rPr>
          <w:rFonts w:eastAsia="Malgun Gothic"/>
          <w:lang w:val="en-US"/>
        </w:rPr>
      </w:pPr>
      <w:r>
        <w:rPr>
          <w:rFonts w:eastAsia="Malgun Gothic"/>
          <w:lang w:val="en-US"/>
        </w:rPr>
        <w:t xml:space="preserve">Architecture options </w:t>
      </w:r>
    </w:p>
    <w:p w14:paraId="650EA739" w14:textId="15FC15D1" w:rsidR="00BD0FB0" w:rsidRDefault="00BD0FB0" w:rsidP="00BD0FB0">
      <w:pPr>
        <w:rPr>
          <w:rFonts w:eastAsia="Malgun Gothic"/>
          <w:lang w:eastAsia="ja-JP"/>
        </w:rPr>
      </w:pPr>
      <w:r>
        <w:rPr>
          <w:lang w:eastAsia="ja-JP"/>
        </w:rPr>
        <w:t>There are main two architecture alternatives for C-plane</w:t>
      </w:r>
      <w:r w:rsidR="00C95293">
        <w:rPr>
          <w:lang w:eastAsia="ja-JP"/>
        </w:rPr>
        <w:t xml:space="preserve"> </w:t>
      </w:r>
      <w:r w:rsidR="00B14820">
        <w:rPr>
          <w:lang w:eastAsia="ja-JP"/>
        </w:rPr>
        <w:t>in case of</w:t>
      </w:r>
      <w:r w:rsidR="00C95293">
        <w:rPr>
          <w:lang w:eastAsia="ja-JP"/>
        </w:rPr>
        <w:t xml:space="preserve"> LTE and NR tight-interworking, similar to what has been discussed for LTE DC,</w:t>
      </w:r>
      <w:r>
        <w:rPr>
          <w:lang w:eastAsia="ja-JP"/>
        </w:rPr>
        <w:t xml:space="preserve"> as follows:</w:t>
      </w:r>
    </w:p>
    <w:p w14:paraId="73360965" w14:textId="6DF3AF65" w:rsidR="0003595F" w:rsidRPr="0000746D" w:rsidRDefault="0003595F" w:rsidP="0003595F">
      <w:pPr>
        <w:pStyle w:val="B1"/>
        <w:numPr>
          <w:ilvl w:val="0"/>
          <w:numId w:val="58"/>
        </w:numPr>
        <w:rPr>
          <w:i/>
          <w:lang w:eastAsia="ja-JP"/>
        </w:rPr>
      </w:pPr>
      <w:r>
        <w:rPr>
          <w:i/>
          <w:lang w:eastAsia="ja-JP"/>
        </w:rPr>
        <w:t xml:space="preserve">Single RRC: Only a single entity of RRC generates the final RRC messages to be sent towards the UE. There is a single RRC entity visible to the UE RRC entity, where it receives all messages from that entity and replies back to it. C-plane </w:t>
      </w:r>
      <w:r w:rsidR="00B02C33">
        <w:rPr>
          <w:i/>
          <w:lang w:eastAsia="ja-JP"/>
        </w:rPr>
        <w:t>diversity</w:t>
      </w:r>
      <w:r>
        <w:rPr>
          <w:i/>
          <w:lang w:eastAsia="ja-JP"/>
        </w:rPr>
        <w:t xml:space="preserve"> can be </w:t>
      </w:r>
      <w:r w:rsidR="00B02C33">
        <w:rPr>
          <w:i/>
          <w:lang w:eastAsia="ja-JP"/>
        </w:rPr>
        <w:t>provided</w:t>
      </w:r>
      <w:r>
        <w:rPr>
          <w:i/>
          <w:lang w:eastAsia="ja-JP"/>
        </w:rPr>
        <w:t xml:space="preserve"> by means of PDCP level split and combining. The coordination of RRM functions between NR and LTE RATs is required.</w:t>
      </w:r>
    </w:p>
    <w:p w14:paraId="64D299C4" w14:textId="32C33C8F" w:rsidR="00BD0FB0" w:rsidRDefault="00BD0FB0" w:rsidP="00735AF5">
      <w:pPr>
        <w:pStyle w:val="B1"/>
        <w:numPr>
          <w:ilvl w:val="0"/>
          <w:numId w:val="58"/>
        </w:numPr>
        <w:rPr>
          <w:i/>
          <w:lang w:eastAsia="ja-JP"/>
        </w:rPr>
      </w:pPr>
      <w:r>
        <w:rPr>
          <w:i/>
          <w:lang w:eastAsia="ja-JP"/>
        </w:rPr>
        <w:t>Dual RRC</w:t>
      </w:r>
      <w:r w:rsidR="0003595F">
        <w:rPr>
          <w:i/>
          <w:lang w:eastAsia="ja-JP"/>
        </w:rPr>
        <w:t>: Two separate RRC entities</w:t>
      </w:r>
      <w:r>
        <w:rPr>
          <w:i/>
          <w:lang w:eastAsia="ja-JP"/>
        </w:rPr>
        <w:t xml:space="preserve"> can generate RRC messages to be s</w:t>
      </w:r>
      <w:r w:rsidR="0003595F">
        <w:rPr>
          <w:i/>
          <w:lang w:eastAsia="ja-JP"/>
        </w:rPr>
        <w:t>ent towards the UE. Those messages</w:t>
      </w:r>
      <w:r>
        <w:rPr>
          <w:i/>
          <w:lang w:eastAsia="ja-JP"/>
        </w:rPr>
        <w:t xml:space="preserve"> may</w:t>
      </w:r>
      <w:r w:rsidR="0003595F">
        <w:rPr>
          <w:i/>
          <w:lang w:eastAsia="ja-JP"/>
        </w:rPr>
        <w:t xml:space="preserve"> be</w:t>
      </w:r>
      <w:r>
        <w:rPr>
          <w:i/>
          <w:lang w:eastAsia="ja-JP"/>
        </w:rPr>
        <w:t xml:space="preserve"> sen</w:t>
      </w:r>
      <w:r w:rsidR="0003595F">
        <w:rPr>
          <w:i/>
          <w:lang w:eastAsia="ja-JP"/>
        </w:rPr>
        <w:t>t</w:t>
      </w:r>
      <w:r>
        <w:rPr>
          <w:i/>
          <w:lang w:eastAsia="ja-JP"/>
        </w:rPr>
        <w:t xml:space="preserve"> to the UE </w:t>
      </w:r>
      <w:r w:rsidR="0003595F">
        <w:rPr>
          <w:i/>
          <w:lang w:eastAsia="ja-JP"/>
        </w:rPr>
        <w:t>via one RAT or both RATs</w:t>
      </w:r>
      <w:r>
        <w:rPr>
          <w:i/>
          <w:lang w:eastAsia="ja-JP"/>
        </w:rPr>
        <w:t>.</w:t>
      </w:r>
      <w:r w:rsidR="0003595F">
        <w:rPr>
          <w:i/>
          <w:lang w:eastAsia="ja-JP"/>
        </w:rPr>
        <w:t xml:space="preserve"> C-plane </w:t>
      </w:r>
      <w:r w:rsidR="00B02C33">
        <w:rPr>
          <w:i/>
          <w:lang w:eastAsia="ja-JP"/>
        </w:rPr>
        <w:t>diversity</w:t>
      </w:r>
      <w:r w:rsidR="0003595F">
        <w:rPr>
          <w:i/>
          <w:lang w:eastAsia="ja-JP"/>
        </w:rPr>
        <w:t xml:space="preserve"> can be </w:t>
      </w:r>
      <w:r w:rsidR="00B02C33">
        <w:rPr>
          <w:i/>
          <w:lang w:eastAsia="ja-JP"/>
        </w:rPr>
        <w:t>provided</w:t>
      </w:r>
      <w:r w:rsidR="0003595F">
        <w:rPr>
          <w:i/>
          <w:lang w:eastAsia="ja-JP"/>
        </w:rPr>
        <w:t xml:space="preserve"> by means of PDCP level split and combining. </w:t>
      </w:r>
      <w:r w:rsidR="00694162">
        <w:rPr>
          <w:i/>
          <w:lang w:eastAsia="ja-JP"/>
        </w:rPr>
        <w:t xml:space="preserve">Local configuration of lower layers is possible. </w:t>
      </w:r>
      <w:r w:rsidR="0003595F">
        <w:rPr>
          <w:i/>
          <w:lang w:eastAsia="ja-JP"/>
        </w:rPr>
        <w:t>The coordination of RRM functions between NR and LTE RATs is required.</w:t>
      </w:r>
      <w:r w:rsidR="00694162">
        <w:rPr>
          <w:i/>
          <w:lang w:eastAsia="ja-JP"/>
        </w:rPr>
        <w:t xml:space="preserve"> </w:t>
      </w:r>
    </w:p>
    <w:p w14:paraId="0CBC648C" w14:textId="64F8CB7D" w:rsidR="00BD0FB0" w:rsidRDefault="00B14820" w:rsidP="00B14820">
      <w:pPr>
        <w:pStyle w:val="TH"/>
        <w:rPr>
          <w:lang w:eastAsia="ja-JP"/>
        </w:rPr>
      </w:pPr>
      <w:r w:rsidRPr="00B14820">
        <w:rPr>
          <w:noProof/>
          <w:lang w:val="en-US" w:eastAsia="zh-CN"/>
        </w:rPr>
        <w:lastRenderedPageBreak/>
        <w:drawing>
          <wp:inline distT="0" distB="0" distL="0" distR="0" wp14:anchorId="37A378BE" wp14:editId="554FB497">
            <wp:extent cx="5032229" cy="175260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1707" cy="1752418"/>
                    </a:xfrm>
                    <a:prstGeom prst="rect">
                      <a:avLst/>
                    </a:prstGeom>
                    <a:noFill/>
                    <a:ln>
                      <a:noFill/>
                    </a:ln>
                    <a:effectLst/>
                    <a:extLst/>
                  </pic:spPr>
                </pic:pic>
              </a:graphicData>
            </a:graphic>
          </wp:inline>
        </w:drawing>
      </w:r>
    </w:p>
    <w:p w14:paraId="3269FBBE" w14:textId="443345AF" w:rsidR="00BD0FB0" w:rsidRDefault="00BD0FB0" w:rsidP="00BD0FB0">
      <w:pPr>
        <w:pStyle w:val="TF"/>
        <w:rPr>
          <w:lang w:eastAsia="ja-JP"/>
        </w:rPr>
      </w:pPr>
      <w:r>
        <w:t xml:space="preserve">Figure </w:t>
      </w:r>
      <w:r w:rsidR="00C73A3F">
        <w:rPr>
          <w:lang w:eastAsia="ja-JP"/>
        </w:rPr>
        <w:t>3</w:t>
      </w:r>
      <w:r>
        <w:t xml:space="preserve"> </w:t>
      </w:r>
      <w:r>
        <w:rPr>
          <w:lang w:eastAsia="ja-JP"/>
        </w:rPr>
        <w:t>Radio Interface C-plane architecture alternatives for LTE-NR interworking</w:t>
      </w:r>
    </w:p>
    <w:p w14:paraId="6B23A0AE" w14:textId="3D44AD4F" w:rsidR="00125675" w:rsidRDefault="00125675" w:rsidP="00125675">
      <w:pPr>
        <w:pStyle w:val="Heading3"/>
        <w:rPr>
          <w:rFonts w:eastAsia="Malgun Gothic"/>
          <w:lang w:val="en-US"/>
        </w:rPr>
      </w:pPr>
      <w:r>
        <w:rPr>
          <w:rFonts w:eastAsia="Malgun Gothic"/>
          <w:lang w:val="en-US"/>
        </w:rPr>
        <w:t>Control plane impact</w:t>
      </w:r>
    </w:p>
    <w:p w14:paraId="3281CBC5" w14:textId="0C299CD9" w:rsidR="007E19A8" w:rsidRDefault="00394551" w:rsidP="00125675">
      <w:pPr>
        <w:rPr>
          <w:szCs w:val="22"/>
          <w:lang w:val="en-US"/>
        </w:rPr>
      </w:pPr>
      <w:r>
        <w:rPr>
          <w:szCs w:val="22"/>
          <w:lang w:val="en-US"/>
        </w:rPr>
        <w:t xml:space="preserve">Common CN/RAN interface and </w:t>
      </w:r>
      <w:r w:rsidRPr="00394551">
        <w:rPr>
          <w:szCs w:val="22"/>
          <w:lang w:val="en-US"/>
        </w:rPr>
        <w:t>RRC state machin</w:t>
      </w:r>
      <w:r>
        <w:rPr>
          <w:szCs w:val="22"/>
          <w:lang w:val="en-US"/>
        </w:rPr>
        <w:t>e for LTE and NR</w:t>
      </w:r>
      <w:r w:rsidR="007B700E">
        <w:rPr>
          <w:szCs w:val="22"/>
          <w:lang w:val="en-US"/>
        </w:rPr>
        <w:t xml:space="preserve"> </w:t>
      </w:r>
      <w:r>
        <w:rPr>
          <w:szCs w:val="22"/>
          <w:lang w:val="en-US"/>
        </w:rPr>
        <w:t xml:space="preserve">proposed in </w:t>
      </w:r>
      <w:r w:rsidR="00F468B7">
        <w:rPr>
          <w:szCs w:val="22"/>
          <w:lang w:val="en-US"/>
        </w:rPr>
        <w:fldChar w:fldCharType="begin"/>
      </w:r>
      <w:r w:rsidR="00F468B7">
        <w:rPr>
          <w:szCs w:val="22"/>
          <w:lang w:val="en-US"/>
        </w:rPr>
        <w:instrText xml:space="preserve"> REF _Ref447313989 \r \h </w:instrText>
      </w:r>
      <w:r w:rsidR="00F468B7">
        <w:rPr>
          <w:szCs w:val="22"/>
          <w:lang w:val="en-US"/>
        </w:rPr>
      </w:r>
      <w:r w:rsidR="00F468B7">
        <w:rPr>
          <w:szCs w:val="22"/>
          <w:lang w:val="en-US"/>
        </w:rPr>
        <w:fldChar w:fldCharType="separate"/>
      </w:r>
      <w:r w:rsidR="00F468B7">
        <w:rPr>
          <w:szCs w:val="22"/>
          <w:lang w:val="en-US"/>
        </w:rPr>
        <w:t>[7</w:t>
      </w:r>
      <w:proofErr w:type="gramStart"/>
      <w:r w:rsidR="00F468B7">
        <w:rPr>
          <w:szCs w:val="22"/>
          <w:lang w:val="en-US"/>
        </w:rPr>
        <w:t>]</w:t>
      </w:r>
      <w:proofErr w:type="gramEnd"/>
      <w:r w:rsidR="00F468B7">
        <w:rPr>
          <w:szCs w:val="22"/>
          <w:lang w:val="en-US"/>
        </w:rPr>
        <w:fldChar w:fldCharType="end"/>
      </w:r>
      <w:r w:rsidR="00A917E8">
        <w:rPr>
          <w:szCs w:val="22"/>
          <w:lang w:val="en-US"/>
        </w:rPr>
        <w:fldChar w:fldCharType="begin"/>
      </w:r>
      <w:r w:rsidR="00A917E8">
        <w:rPr>
          <w:szCs w:val="22"/>
          <w:lang w:val="en-US"/>
        </w:rPr>
        <w:instrText xml:space="preserve"> REF _Ref447285660 \r \h </w:instrText>
      </w:r>
      <w:r w:rsidR="00A917E8">
        <w:rPr>
          <w:szCs w:val="22"/>
          <w:lang w:val="en-US"/>
        </w:rPr>
      </w:r>
      <w:r w:rsidR="00A917E8">
        <w:rPr>
          <w:szCs w:val="22"/>
          <w:lang w:val="en-US"/>
        </w:rPr>
        <w:fldChar w:fldCharType="end"/>
      </w:r>
      <w:r w:rsidR="007E19A8">
        <w:rPr>
          <w:szCs w:val="22"/>
          <w:lang w:val="en-US"/>
        </w:rPr>
        <w:t>as well as common control evolution for LTE and NR</w:t>
      </w:r>
      <w:r>
        <w:rPr>
          <w:szCs w:val="22"/>
          <w:lang w:val="en-US"/>
        </w:rPr>
        <w:t xml:space="preserve"> are the major drivers for</w:t>
      </w:r>
      <w:r w:rsidR="00B02C33">
        <w:rPr>
          <w:szCs w:val="22"/>
          <w:lang w:val="en-US"/>
        </w:rPr>
        <w:t xml:space="preserve"> Single RRC architecture</w:t>
      </w:r>
      <w:r>
        <w:rPr>
          <w:szCs w:val="22"/>
          <w:lang w:val="en-US"/>
        </w:rPr>
        <w:t xml:space="preserve"> option</w:t>
      </w:r>
      <w:r w:rsidR="00B02C33">
        <w:rPr>
          <w:szCs w:val="22"/>
          <w:lang w:val="en-US"/>
        </w:rPr>
        <w:t>.</w:t>
      </w:r>
      <w:r>
        <w:rPr>
          <w:szCs w:val="22"/>
          <w:lang w:val="en-US"/>
        </w:rPr>
        <w:t xml:space="preserve"> Furthermore, from the standardization point of view, this could enable the use of </w:t>
      </w:r>
      <w:r w:rsidR="007E19A8">
        <w:rPr>
          <w:szCs w:val="22"/>
          <w:lang w:val="en-US"/>
        </w:rPr>
        <w:t>existing LTE</w:t>
      </w:r>
      <w:r>
        <w:rPr>
          <w:szCs w:val="22"/>
          <w:lang w:val="en-US"/>
        </w:rPr>
        <w:t xml:space="preserve"> RRC functionalities </w:t>
      </w:r>
      <w:r w:rsidR="007E19A8">
        <w:rPr>
          <w:szCs w:val="22"/>
          <w:lang w:val="en-US"/>
        </w:rPr>
        <w:t>for</w:t>
      </w:r>
      <w:r>
        <w:rPr>
          <w:szCs w:val="22"/>
          <w:lang w:val="en-US"/>
        </w:rPr>
        <w:t xml:space="preserve"> NR</w:t>
      </w:r>
      <w:r w:rsidR="007E19A8">
        <w:rPr>
          <w:szCs w:val="22"/>
          <w:lang w:val="en-US"/>
        </w:rPr>
        <w:t xml:space="preserve"> C-plane</w:t>
      </w:r>
      <w:r>
        <w:rPr>
          <w:szCs w:val="22"/>
          <w:lang w:val="en-US"/>
        </w:rPr>
        <w:t xml:space="preserve"> right away with a minimal standardization effort. On the other hand, </w:t>
      </w:r>
      <w:r w:rsidR="007E19A8">
        <w:rPr>
          <w:szCs w:val="22"/>
          <w:lang w:val="en-US"/>
        </w:rPr>
        <w:t>the local RRC configuration possibility of lower layers and the less backward-dependency to introduce new RRC functions and requirements seem</w:t>
      </w:r>
      <w:r>
        <w:rPr>
          <w:szCs w:val="22"/>
          <w:lang w:val="en-US"/>
        </w:rPr>
        <w:t xml:space="preserve"> to be major advantages of Dual RRC architecture option.</w:t>
      </w:r>
    </w:p>
    <w:p w14:paraId="00203653" w14:textId="64258AE5" w:rsidR="00125675" w:rsidRDefault="007E19A8" w:rsidP="00125675">
      <w:pPr>
        <w:rPr>
          <w:szCs w:val="22"/>
          <w:lang w:val="en-US"/>
        </w:rPr>
      </w:pPr>
      <w:r>
        <w:rPr>
          <w:szCs w:val="22"/>
          <w:lang w:val="en-US"/>
        </w:rPr>
        <w:t>T</w:t>
      </w:r>
      <w:r w:rsidR="00B55D32">
        <w:rPr>
          <w:szCs w:val="22"/>
          <w:lang w:val="en-US"/>
        </w:rPr>
        <w:t xml:space="preserve">o </w:t>
      </w:r>
      <w:r>
        <w:rPr>
          <w:szCs w:val="22"/>
          <w:lang w:val="en-US"/>
        </w:rPr>
        <w:t xml:space="preserve">present </w:t>
      </w:r>
      <w:r w:rsidR="00807B37">
        <w:rPr>
          <w:szCs w:val="22"/>
          <w:lang w:val="en-US"/>
        </w:rPr>
        <w:t>a</w:t>
      </w:r>
      <w:r>
        <w:rPr>
          <w:szCs w:val="22"/>
          <w:lang w:val="en-US"/>
        </w:rPr>
        <w:t xml:space="preserve"> complete list of pros and cons, 3GPP should study and evaluate </w:t>
      </w:r>
      <w:r w:rsidR="0007709A">
        <w:rPr>
          <w:szCs w:val="22"/>
          <w:lang w:val="en-US"/>
        </w:rPr>
        <w:t xml:space="preserve">the </w:t>
      </w:r>
      <w:r>
        <w:rPr>
          <w:lang w:val="en-US"/>
        </w:rPr>
        <w:t>single and dual RRC architecture alternatives in terms of both signaling aspects towards the UE and aspects related to the interworking of LTE and NR.</w:t>
      </w:r>
      <w:r w:rsidR="00394551">
        <w:rPr>
          <w:szCs w:val="22"/>
          <w:lang w:val="en-US"/>
        </w:rPr>
        <w:t xml:space="preserve">  </w:t>
      </w:r>
      <w:r w:rsidR="00B02C33">
        <w:rPr>
          <w:szCs w:val="22"/>
          <w:lang w:val="en-US"/>
        </w:rPr>
        <w:t xml:space="preserve"> </w:t>
      </w:r>
    </w:p>
    <w:p w14:paraId="78FA88F0" w14:textId="4E34C046" w:rsidR="007E19A8" w:rsidRPr="007E19A8" w:rsidRDefault="007E19A8" w:rsidP="000C145C">
      <w:pPr>
        <w:pStyle w:val="Proposal"/>
        <w:numPr>
          <w:ilvl w:val="0"/>
          <w:numId w:val="3"/>
        </w:numPr>
        <w:rPr>
          <w:szCs w:val="22"/>
          <w:lang w:val="en-US"/>
        </w:rPr>
      </w:pPr>
      <w:bookmarkStart w:id="21" w:name="_Toc447314854"/>
      <w:bookmarkStart w:id="22" w:name="_Toc447323678"/>
      <w:bookmarkStart w:id="23" w:name="_Toc447326002"/>
      <w:bookmarkStart w:id="24" w:name="_Toc447326225"/>
      <w:bookmarkStart w:id="25" w:name="_Toc447328772"/>
      <w:r>
        <w:rPr>
          <w:szCs w:val="22"/>
          <w:lang w:val="en-US"/>
        </w:rPr>
        <w:t xml:space="preserve">3GPP should study and evaluate </w:t>
      </w:r>
      <w:r>
        <w:rPr>
          <w:lang w:val="en-US"/>
        </w:rPr>
        <w:t>single and dual RRC architecture alternatives in terms of both signaling aspects towards the UE and aspects related to the interworking of LTE and NR.</w:t>
      </w:r>
      <w:bookmarkEnd w:id="21"/>
      <w:bookmarkEnd w:id="22"/>
      <w:bookmarkEnd w:id="23"/>
      <w:bookmarkEnd w:id="24"/>
      <w:bookmarkEnd w:id="25"/>
    </w:p>
    <w:p w14:paraId="3B5356FF" w14:textId="71DF7A55" w:rsidR="001175E7" w:rsidRPr="001175E7" w:rsidRDefault="001175E7" w:rsidP="001175E7">
      <w:pPr>
        <w:pStyle w:val="Heading1"/>
      </w:pPr>
      <w:r>
        <w:t>Conclusions</w:t>
      </w:r>
      <w:r w:rsidRPr="001175E7">
        <w:rPr>
          <w:szCs w:val="22"/>
        </w:rPr>
        <w:t xml:space="preserve"> </w:t>
      </w:r>
    </w:p>
    <w:p w14:paraId="228DD7FB" w14:textId="63F6DEF1" w:rsidR="0097256B" w:rsidRDefault="001175E7" w:rsidP="001175E7">
      <w:pPr>
        <w:tabs>
          <w:tab w:val="left" w:pos="6752"/>
        </w:tabs>
        <w:rPr>
          <w:rFonts w:eastAsia="Malgun Gothic" w:cs="Arial"/>
          <w:bCs/>
          <w:szCs w:val="22"/>
          <w:lang w:eastAsia="ko-KR"/>
        </w:rPr>
      </w:pPr>
      <w:r w:rsidRPr="001175E7">
        <w:rPr>
          <w:rFonts w:cs="Arial"/>
          <w:szCs w:val="22"/>
        </w:rPr>
        <w:t xml:space="preserve">This contribution identifies </w:t>
      </w:r>
      <w:r w:rsidRPr="001175E7">
        <w:rPr>
          <w:rFonts w:cs="Arial"/>
          <w:bCs/>
          <w:szCs w:val="22"/>
          <w:lang w:eastAsia="ja-JP"/>
        </w:rPr>
        <w:t xml:space="preserve">technical features necessary to enable </w:t>
      </w:r>
      <w:r w:rsidRPr="001175E7">
        <w:rPr>
          <w:rFonts w:eastAsia="Malgun Gothic" w:cs="Arial"/>
          <w:bCs/>
          <w:szCs w:val="22"/>
          <w:lang w:eastAsia="ko-KR"/>
        </w:rPr>
        <w:t xml:space="preserve">the tight </w:t>
      </w:r>
      <w:r w:rsidRPr="001175E7">
        <w:rPr>
          <w:rFonts w:cs="Arial"/>
          <w:bCs/>
          <w:szCs w:val="22"/>
          <w:lang w:eastAsia="ja-JP"/>
        </w:rPr>
        <w:t>interworking</w:t>
      </w:r>
      <w:r w:rsidRPr="001175E7">
        <w:rPr>
          <w:rFonts w:eastAsia="Malgun Gothic" w:cs="Arial"/>
          <w:bCs/>
          <w:szCs w:val="22"/>
          <w:lang w:eastAsia="ko-KR"/>
        </w:rPr>
        <w:t xml:space="preserve"> between </w:t>
      </w:r>
      <w:r w:rsidR="00205E4F">
        <w:rPr>
          <w:rFonts w:eastAsia="Malgun Gothic" w:cs="Arial"/>
          <w:bCs/>
          <w:szCs w:val="22"/>
          <w:lang w:eastAsia="ko-KR"/>
        </w:rPr>
        <w:t xml:space="preserve">NR </w:t>
      </w:r>
      <w:r w:rsidRPr="001175E7">
        <w:rPr>
          <w:rFonts w:eastAsia="Malgun Gothic" w:cs="Arial"/>
          <w:bCs/>
          <w:szCs w:val="22"/>
          <w:lang w:eastAsia="ko-KR"/>
        </w:rPr>
        <w:t>and LTE</w:t>
      </w:r>
      <w:r w:rsidR="00205E4F">
        <w:rPr>
          <w:rFonts w:cs="Arial"/>
          <w:szCs w:val="22"/>
        </w:rPr>
        <w:t xml:space="preserve"> </w:t>
      </w:r>
      <w:r w:rsidR="00205E4F">
        <w:rPr>
          <w:rFonts w:cs="Arial"/>
          <w:szCs w:val="22"/>
        </w:rPr>
        <w:fldChar w:fldCharType="begin"/>
      </w:r>
      <w:r w:rsidR="00205E4F">
        <w:rPr>
          <w:rFonts w:cs="Arial"/>
          <w:szCs w:val="22"/>
        </w:rPr>
        <w:instrText xml:space="preserve"> REF _Ref446848631 \n \h </w:instrText>
      </w:r>
      <w:r w:rsidR="00205E4F">
        <w:rPr>
          <w:rFonts w:cs="Arial"/>
          <w:szCs w:val="22"/>
        </w:rPr>
      </w:r>
      <w:r w:rsidR="00205E4F">
        <w:rPr>
          <w:rFonts w:cs="Arial"/>
          <w:szCs w:val="22"/>
        </w:rPr>
        <w:fldChar w:fldCharType="separate"/>
      </w:r>
      <w:r w:rsidR="00205E4F">
        <w:rPr>
          <w:rFonts w:cs="Arial"/>
          <w:szCs w:val="22"/>
        </w:rPr>
        <w:t>[2]</w:t>
      </w:r>
      <w:r w:rsidR="00205E4F">
        <w:rPr>
          <w:rFonts w:cs="Arial"/>
          <w:szCs w:val="22"/>
        </w:rPr>
        <w:fldChar w:fldCharType="end"/>
      </w:r>
      <w:r>
        <w:rPr>
          <w:rFonts w:eastAsia="Malgun Gothic" w:cs="Arial"/>
          <w:bCs/>
          <w:szCs w:val="22"/>
          <w:lang w:eastAsia="ko-KR"/>
        </w:rPr>
        <w:t xml:space="preserve"> and the following is proposed:</w:t>
      </w:r>
    </w:p>
    <w:p w14:paraId="052A1EC1" w14:textId="77777777" w:rsidR="00554D68" w:rsidRDefault="00205E4F">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554D68">
        <w:t>Proposal 1</w:t>
      </w:r>
      <w:r w:rsidR="00554D68">
        <w:rPr>
          <w:rFonts w:asciiTheme="minorHAnsi" w:eastAsiaTheme="minorEastAsia" w:hAnsiTheme="minorHAnsi" w:cstheme="minorBidi"/>
          <w:b w:val="0"/>
          <w:sz w:val="22"/>
        </w:rPr>
        <w:tab/>
      </w:r>
      <w:r w:rsidR="00554D68">
        <w:t>LTE-NR inter-RAT mobility should target high robustness against packet losses and failures, low interruption delays and low signalling overhead.</w:t>
      </w:r>
    </w:p>
    <w:p w14:paraId="3BEA8A89" w14:textId="77777777" w:rsidR="00554D68" w:rsidRDefault="00554D68">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The RRC design for the tight integration should allow a quick secondary RAT establishment of NR or LTE (at least as quick as current Release 12 solution) and low complexity state handling.</w:t>
      </w:r>
    </w:p>
    <w:p w14:paraId="2FD17AFE" w14:textId="77777777" w:rsidR="00554D68" w:rsidRDefault="00554D68">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RRC diversity should be supported by the tight integration of NR and LTE.</w:t>
      </w:r>
    </w:p>
    <w:p w14:paraId="12683838" w14:textId="77777777" w:rsidR="00554D68" w:rsidRDefault="00554D68">
      <w:pPr>
        <w:pStyle w:val="TOC1"/>
        <w:rPr>
          <w:rFonts w:asciiTheme="minorHAnsi" w:eastAsiaTheme="minorEastAsia" w:hAnsiTheme="minorHAnsi" w:cstheme="minorBidi"/>
          <w:b w:val="0"/>
          <w:sz w:val="22"/>
        </w:rPr>
      </w:pPr>
      <w:r w:rsidRPr="00EB34B9">
        <w:t>Proposal 4</w:t>
      </w:r>
      <w:r>
        <w:rPr>
          <w:rFonts w:asciiTheme="minorHAnsi" w:eastAsiaTheme="minorEastAsia" w:hAnsiTheme="minorHAnsi" w:cstheme="minorBidi"/>
          <w:b w:val="0"/>
          <w:sz w:val="22"/>
        </w:rPr>
        <w:tab/>
      </w:r>
      <w:r w:rsidRPr="00EB34B9">
        <w:t>3GPP should study and evaluate single and dual RRC architecture alternatives in terms of both signaling aspects towards the UE and aspects related to the interworking of LTE and NR.</w:t>
      </w:r>
    </w:p>
    <w:p w14:paraId="6B98B827" w14:textId="3BAEA4CA" w:rsidR="00205E4F" w:rsidRPr="00DC664E" w:rsidRDefault="00205E4F" w:rsidP="001175E7">
      <w:pPr>
        <w:tabs>
          <w:tab w:val="left" w:pos="6752"/>
        </w:tabs>
        <w:rPr>
          <w:rFonts w:eastAsia="Malgun Gothic" w:cs="Arial"/>
          <w:bCs/>
          <w:szCs w:val="22"/>
          <w:lang w:eastAsia="ko-KR"/>
        </w:rPr>
      </w:pPr>
      <w:r>
        <w:rPr>
          <w:b/>
          <w:bCs/>
        </w:rPr>
        <w:fldChar w:fldCharType="end"/>
      </w:r>
    </w:p>
    <w:p w14:paraId="72BB1D93" w14:textId="77777777" w:rsidR="00427637" w:rsidRPr="00A742FA" w:rsidRDefault="00427637" w:rsidP="00427637">
      <w:pPr>
        <w:pStyle w:val="Heading1"/>
        <w:rPr>
          <w:lang w:val="en-US"/>
        </w:rPr>
      </w:pPr>
      <w:r w:rsidRPr="00A742FA">
        <w:rPr>
          <w:lang w:val="en-US"/>
        </w:rPr>
        <w:t>Reference</w:t>
      </w:r>
      <w:r>
        <w:rPr>
          <w:lang w:val="en-US"/>
        </w:rPr>
        <w:t>s</w:t>
      </w:r>
      <w:bookmarkStart w:id="26" w:name="_GoBack"/>
      <w:bookmarkEnd w:id="26"/>
    </w:p>
    <w:p w14:paraId="0F6A84EB" w14:textId="4FB18F9E" w:rsidR="00427637" w:rsidRPr="000C145C" w:rsidRDefault="00E454EB" w:rsidP="00E454EB">
      <w:pPr>
        <w:pStyle w:val="Reference"/>
      </w:pPr>
      <w:bookmarkStart w:id="27" w:name="_Ref447309424"/>
      <w:r w:rsidRPr="00E454EB">
        <w:t>3GPP TR 38.913 V0.3.0 (2016-03)</w:t>
      </w:r>
      <w:r>
        <w:t>,</w:t>
      </w:r>
      <w:r w:rsidRPr="00E454EB">
        <w:t xml:space="preserve"> 3rd Generation Partnership Project; Technical Specification Group Radio Access Network; Study on Scenarios and Requirements for Next Generation Access Technologies; (Release 14)</w:t>
      </w:r>
      <w:bookmarkEnd w:id="27"/>
    </w:p>
    <w:p w14:paraId="7A3FF524" w14:textId="77777777" w:rsidR="00602907" w:rsidRPr="000C145C" w:rsidRDefault="00602907" w:rsidP="000C145C">
      <w:pPr>
        <w:pStyle w:val="Reference"/>
      </w:pPr>
      <w:bookmarkStart w:id="28" w:name="_Ref446848631"/>
      <w:bookmarkStart w:id="29" w:name="_Ref447001561"/>
      <w:r w:rsidRPr="000C145C">
        <w:t>RP-160671, New SID Proposal: Study on New Radio Access Technology</w:t>
      </w:r>
      <w:bookmarkEnd w:id="28"/>
      <w:bookmarkEnd w:id="29"/>
    </w:p>
    <w:p w14:paraId="3BF6A254" w14:textId="69B5D5D4" w:rsidR="008E2C99" w:rsidRPr="000C145C" w:rsidRDefault="00F07FB1" w:rsidP="00AD413A">
      <w:pPr>
        <w:pStyle w:val="Reference"/>
      </w:pPr>
      <w:hyperlink r:id="rId18" w:history="1">
        <w:bookmarkStart w:id="30" w:name="_Ref446848783"/>
        <w:r w:rsidR="008E2C99" w:rsidRPr="000C145C">
          <w:rPr>
            <w:rStyle w:val="Hyperlink"/>
            <w:color w:val="auto"/>
            <w:u w:val="none"/>
          </w:rPr>
          <w:t>METIS-II</w:t>
        </w:r>
        <w:r w:rsidR="00AD413A">
          <w:rPr>
            <w:rStyle w:val="Hyperlink"/>
            <w:color w:val="auto"/>
            <w:u w:val="none"/>
          </w:rPr>
          <w:t>,</w:t>
        </w:r>
        <w:r w:rsidR="008E2C99" w:rsidRPr="000C145C">
          <w:rPr>
            <w:rStyle w:val="Hyperlink"/>
            <w:color w:val="auto"/>
            <w:u w:val="none"/>
          </w:rPr>
          <w:t xml:space="preserve"> White Paper on 5G RAN Architecture and Functional design</w:t>
        </w:r>
        <w:bookmarkEnd w:id="30"/>
      </w:hyperlink>
      <w:r w:rsidR="00AD413A">
        <w:rPr>
          <w:rStyle w:val="Hyperlink"/>
          <w:color w:val="auto"/>
          <w:u w:val="none"/>
        </w:rPr>
        <w:t>, March 8</w:t>
      </w:r>
      <w:r w:rsidR="00AD413A" w:rsidRPr="00AD413A">
        <w:rPr>
          <w:rStyle w:val="Hyperlink"/>
          <w:color w:val="auto"/>
          <w:u w:val="none"/>
          <w:vertAlign w:val="superscript"/>
        </w:rPr>
        <w:t>th</w:t>
      </w:r>
      <w:r w:rsidR="00AD413A">
        <w:rPr>
          <w:rStyle w:val="Hyperlink"/>
          <w:color w:val="auto"/>
          <w:u w:val="none"/>
        </w:rPr>
        <w:t>, 2016.</w:t>
      </w:r>
    </w:p>
    <w:p w14:paraId="5D163445" w14:textId="2712815A" w:rsidR="00AD413A" w:rsidRDefault="004A5876" w:rsidP="004A5876">
      <w:pPr>
        <w:pStyle w:val="Reference"/>
      </w:pPr>
      <w:bookmarkStart w:id="31" w:name="_Ref447307281"/>
      <w:bookmarkStart w:id="32" w:name="_Ref447002690"/>
      <w:r w:rsidRPr="004A5876">
        <w:t>R2-162754</w:t>
      </w:r>
      <w:r w:rsidR="00AD413A">
        <w:t xml:space="preserve">, </w:t>
      </w:r>
      <w:r w:rsidR="00AD413A" w:rsidRPr="00AD413A">
        <w:t xml:space="preserve">Tight integration of the New Radio interface (NR) and LTE: </w:t>
      </w:r>
      <w:r w:rsidR="00AD413A">
        <w:t>User</w:t>
      </w:r>
      <w:r w:rsidR="00AD413A" w:rsidRPr="00AD413A">
        <w:t xml:space="preserve"> Plane design</w:t>
      </w:r>
      <w:bookmarkEnd w:id="31"/>
      <w:r w:rsidR="00032C1E">
        <w:t>, Ericsson, RAN2#93bis, 11 - 15 April 2016</w:t>
      </w:r>
    </w:p>
    <w:p w14:paraId="3B42E7AE" w14:textId="3363171D" w:rsidR="008036DB" w:rsidRDefault="008036DB" w:rsidP="00AD413A">
      <w:pPr>
        <w:pStyle w:val="Reference"/>
      </w:pPr>
      <w:bookmarkStart w:id="33" w:name="_Ref447308002"/>
      <w:r w:rsidRPr="003962AF">
        <w:lastRenderedPageBreak/>
        <w:t>3GPP TS 36.300 V13.2.0 (2015-12)</w:t>
      </w:r>
      <w:r w:rsidR="00E454EB">
        <w:t>,</w:t>
      </w:r>
      <w:r w:rsidRPr="003962AF">
        <w:t xml:space="preserve"> 3rd Generation Partnership Project; Technical Specification Group Radio Access Network; Evolved Universal Terrestrial Radio Access (E-UTRA) and Evolved Universal Terrestrial Radio Access Network (E-UTRAN); Overall description; Stage 2 (Release 13)</w:t>
      </w:r>
      <w:bookmarkEnd w:id="33"/>
    </w:p>
    <w:p w14:paraId="33F84F84" w14:textId="2A586213" w:rsidR="00E454EB" w:rsidRDefault="00E454EB" w:rsidP="00E454EB">
      <w:pPr>
        <w:pStyle w:val="Reference"/>
      </w:pPr>
      <w:bookmarkStart w:id="34" w:name="_Ref447312485"/>
      <w:r w:rsidRPr="00E454EB">
        <w:t>3GPP TR 36.842 V12.0.0 (2013-12) Technical Report 3rd Generation Partnership Project; Technical Specification Group Radio Access Network; Study on Small Cell enhancements for E-UTRA and E-UTRAN; Higher layer aspects (Release 12)</w:t>
      </w:r>
      <w:bookmarkEnd w:id="34"/>
    </w:p>
    <w:p w14:paraId="21CEE59F" w14:textId="07B52488" w:rsidR="00F468B7" w:rsidRDefault="00FB7290" w:rsidP="00F468B7">
      <w:pPr>
        <w:pStyle w:val="Reference"/>
      </w:pPr>
      <w:bookmarkStart w:id="35" w:name="_Ref447313989"/>
      <w:r>
        <w:t>R2-162765</w:t>
      </w:r>
      <w:r w:rsidR="00F468B7">
        <w:t xml:space="preserve">, </w:t>
      </w:r>
      <w:r w:rsidR="00F468B7" w:rsidRPr="008A20FF">
        <w:t>CN / RAN aspects of NR integration</w:t>
      </w:r>
      <w:bookmarkEnd w:id="35"/>
      <w:r w:rsidR="005D2CE7">
        <w:t>, Ericsson, RAN2#93bis, 11 - 15 April 2016</w:t>
      </w:r>
    </w:p>
    <w:p w14:paraId="3FB94F5A" w14:textId="14823775" w:rsidR="00226AA9" w:rsidRPr="008E7EFB" w:rsidRDefault="00226AA9" w:rsidP="00226AA9">
      <w:pPr>
        <w:pStyle w:val="Reference"/>
      </w:pPr>
      <w:bookmarkStart w:id="36" w:name="_Ref447326013"/>
      <w:r>
        <w:t>R2-162760, “</w:t>
      </w:r>
      <w:r w:rsidRPr="00226AA9">
        <w:t>Handling of inactive UEs</w:t>
      </w:r>
      <w:r>
        <w:t>”, Ericsson</w:t>
      </w:r>
      <w:bookmarkEnd w:id="36"/>
    </w:p>
    <w:p w14:paraId="0C532192" w14:textId="66A6B8B0" w:rsidR="001175E7" w:rsidRDefault="001175E7" w:rsidP="0038254D">
      <w:bookmarkStart w:id="37" w:name="_Ref447304910"/>
      <w:bookmarkEnd w:id="32"/>
      <w:bookmarkEnd w:id="37"/>
    </w:p>
    <w:p w14:paraId="3C905192" w14:textId="77777777" w:rsidR="003A7EF3" w:rsidRPr="0030246E" w:rsidRDefault="003A7EF3" w:rsidP="00D00AE7"/>
    <w:sectPr w:rsidR="003A7EF3" w:rsidRPr="0030246E">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55330" w14:textId="77777777" w:rsidR="00F07FB1" w:rsidRDefault="00F07FB1">
      <w:r>
        <w:separator/>
      </w:r>
    </w:p>
  </w:endnote>
  <w:endnote w:type="continuationSeparator" w:id="0">
    <w:p w14:paraId="3850127A" w14:textId="77777777" w:rsidR="00F07FB1" w:rsidRDefault="00F07FB1">
      <w:r>
        <w:continuationSeparator/>
      </w:r>
    </w:p>
  </w:endnote>
  <w:endnote w:type="continuationNotice" w:id="1">
    <w:p w14:paraId="5551A12E" w14:textId="77777777" w:rsidR="00F07FB1" w:rsidRDefault="00F07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5D31E9" w:rsidRDefault="005D31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4D6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4D6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AEEDB" w14:textId="77777777" w:rsidR="00F07FB1" w:rsidRDefault="00F07FB1">
      <w:r>
        <w:separator/>
      </w:r>
    </w:p>
  </w:footnote>
  <w:footnote w:type="continuationSeparator" w:id="0">
    <w:p w14:paraId="5457A7F3" w14:textId="77777777" w:rsidR="00F07FB1" w:rsidRDefault="00F07FB1">
      <w:r>
        <w:continuationSeparator/>
      </w:r>
    </w:p>
  </w:footnote>
  <w:footnote w:type="continuationNotice" w:id="1">
    <w:p w14:paraId="569BE781" w14:textId="77777777" w:rsidR="00F07FB1" w:rsidRDefault="00F07F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5D31E9" w:rsidRDefault="005D31E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5D31E9" w:rsidRDefault="005D31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9266CA"/>
    <w:lvl w:ilvl="0">
      <w:start w:val="1"/>
      <w:numFmt w:val="decimal"/>
      <w:lvlText w:val="%1."/>
      <w:lvlJc w:val="left"/>
      <w:pPr>
        <w:tabs>
          <w:tab w:val="num" w:pos="1492"/>
        </w:tabs>
        <w:ind w:left="1492" w:hanging="360"/>
      </w:pPr>
    </w:lvl>
  </w:abstractNum>
  <w:abstractNum w:abstractNumId="1">
    <w:nsid w:val="FFFFFF7D"/>
    <w:multiLevelType w:val="singleLevel"/>
    <w:tmpl w:val="A80AF504"/>
    <w:lvl w:ilvl="0">
      <w:start w:val="1"/>
      <w:numFmt w:val="decimal"/>
      <w:lvlText w:val="%1."/>
      <w:lvlJc w:val="left"/>
      <w:pPr>
        <w:tabs>
          <w:tab w:val="num" w:pos="1209"/>
        </w:tabs>
        <w:ind w:left="1209" w:hanging="360"/>
      </w:pPr>
    </w:lvl>
  </w:abstractNum>
  <w:abstractNum w:abstractNumId="2">
    <w:nsid w:val="FFFFFF7E"/>
    <w:multiLevelType w:val="singleLevel"/>
    <w:tmpl w:val="2CDC397C"/>
    <w:lvl w:ilvl="0">
      <w:start w:val="1"/>
      <w:numFmt w:val="decimal"/>
      <w:lvlText w:val="%1."/>
      <w:lvlJc w:val="left"/>
      <w:pPr>
        <w:tabs>
          <w:tab w:val="num" w:pos="926"/>
        </w:tabs>
        <w:ind w:left="926" w:hanging="360"/>
      </w:pPr>
    </w:lvl>
  </w:abstractNum>
  <w:abstractNum w:abstractNumId="3">
    <w:nsid w:val="FFFFFF89"/>
    <w:multiLevelType w:val="singleLevel"/>
    <w:tmpl w:val="8D9618A0"/>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6484816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4446"/>
        </w:tabs>
        <w:ind w:left="4446" w:hanging="576"/>
      </w:pPr>
      <w:rPr>
        <w:rFonts w:hint="default"/>
      </w:rPr>
    </w:lvl>
    <w:lvl w:ilvl="2">
      <w:start w:val="1"/>
      <w:numFmt w:val="decimal"/>
      <w:pStyle w:val="Heading3"/>
      <w:lvlText w:val="%1.%2.%3"/>
      <w:lvlJc w:val="left"/>
      <w:pPr>
        <w:tabs>
          <w:tab w:val="num" w:pos="1429"/>
        </w:tabs>
        <w:ind w:left="1429"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DA51E06"/>
    <w:multiLevelType w:val="hybridMultilevel"/>
    <w:tmpl w:val="7950786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557DD9"/>
    <w:multiLevelType w:val="hybridMultilevel"/>
    <w:tmpl w:val="00147486"/>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BD60F5"/>
    <w:multiLevelType w:val="hybridMultilevel"/>
    <w:tmpl w:val="A6E087D2"/>
    <w:lvl w:ilvl="0" w:tplc="1444F984">
      <w:start w:val="1"/>
      <w:numFmt w:val="bullet"/>
      <w:lvlText w:val="›"/>
      <w:lvlJc w:val="left"/>
      <w:pPr>
        <w:tabs>
          <w:tab w:val="num" w:pos="720"/>
        </w:tabs>
        <w:ind w:left="720" w:hanging="360"/>
      </w:pPr>
      <w:rPr>
        <w:rFonts w:ascii="Arial" w:hAnsi="Arial" w:hint="default"/>
      </w:rPr>
    </w:lvl>
    <w:lvl w:ilvl="1" w:tplc="D7E65402" w:tentative="1">
      <w:start w:val="1"/>
      <w:numFmt w:val="bullet"/>
      <w:lvlText w:val="›"/>
      <w:lvlJc w:val="left"/>
      <w:pPr>
        <w:tabs>
          <w:tab w:val="num" w:pos="1440"/>
        </w:tabs>
        <w:ind w:left="1440" w:hanging="360"/>
      </w:pPr>
      <w:rPr>
        <w:rFonts w:ascii="Arial" w:hAnsi="Arial" w:hint="default"/>
      </w:rPr>
    </w:lvl>
    <w:lvl w:ilvl="2" w:tplc="2034EAEC" w:tentative="1">
      <w:start w:val="1"/>
      <w:numFmt w:val="bullet"/>
      <w:lvlText w:val="›"/>
      <w:lvlJc w:val="left"/>
      <w:pPr>
        <w:tabs>
          <w:tab w:val="num" w:pos="2160"/>
        </w:tabs>
        <w:ind w:left="2160" w:hanging="360"/>
      </w:pPr>
      <w:rPr>
        <w:rFonts w:ascii="Arial" w:hAnsi="Arial" w:hint="default"/>
      </w:rPr>
    </w:lvl>
    <w:lvl w:ilvl="3" w:tplc="28E42912" w:tentative="1">
      <w:start w:val="1"/>
      <w:numFmt w:val="bullet"/>
      <w:lvlText w:val="›"/>
      <w:lvlJc w:val="left"/>
      <w:pPr>
        <w:tabs>
          <w:tab w:val="num" w:pos="2880"/>
        </w:tabs>
        <w:ind w:left="2880" w:hanging="360"/>
      </w:pPr>
      <w:rPr>
        <w:rFonts w:ascii="Arial" w:hAnsi="Arial" w:hint="default"/>
      </w:rPr>
    </w:lvl>
    <w:lvl w:ilvl="4" w:tplc="F4CA9734" w:tentative="1">
      <w:start w:val="1"/>
      <w:numFmt w:val="bullet"/>
      <w:lvlText w:val="›"/>
      <w:lvlJc w:val="left"/>
      <w:pPr>
        <w:tabs>
          <w:tab w:val="num" w:pos="3600"/>
        </w:tabs>
        <w:ind w:left="3600" w:hanging="360"/>
      </w:pPr>
      <w:rPr>
        <w:rFonts w:ascii="Arial" w:hAnsi="Arial" w:hint="default"/>
      </w:rPr>
    </w:lvl>
    <w:lvl w:ilvl="5" w:tplc="1BD418BE" w:tentative="1">
      <w:start w:val="1"/>
      <w:numFmt w:val="bullet"/>
      <w:lvlText w:val="›"/>
      <w:lvlJc w:val="left"/>
      <w:pPr>
        <w:tabs>
          <w:tab w:val="num" w:pos="4320"/>
        </w:tabs>
        <w:ind w:left="4320" w:hanging="360"/>
      </w:pPr>
      <w:rPr>
        <w:rFonts w:ascii="Arial" w:hAnsi="Arial" w:hint="default"/>
      </w:rPr>
    </w:lvl>
    <w:lvl w:ilvl="6" w:tplc="7942551E" w:tentative="1">
      <w:start w:val="1"/>
      <w:numFmt w:val="bullet"/>
      <w:lvlText w:val="›"/>
      <w:lvlJc w:val="left"/>
      <w:pPr>
        <w:tabs>
          <w:tab w:val="num" w:pos="5040"/>
        </w:tabs>
        <w:ind w:left="5040" w:hanging="360"/>
      </w:pPr>
      <w:rPr>
        <w:rFonts w:ascii="Arial" w:hAnsi="Arial" w:hint="default"/>
      </w:rPr>
    </w:lvl>
    <w:lvl w:ilvl="7" w:tplc="F60CE8F2" w:tentative="1">
      <w:start w:val="1"/>
      <w:numFmt w:val="bullet"/>
      <w:lvlText w:val="›"/>
      <w:lvlJc w:val="left"/>
      <w:pPr>
        <w:tabs>
          <w:tab w:val="num" w:pos="5760"/>
        </w:tabs>
        <w:ind w:left="5760" w:hanging="360"/>
      </w:pPr>
      <w:rPr>
        <w:rFonts w:ascii="Arial" w:hAnsi="Arial" w:hint="default"/>
      </w:rPr>
    </w:lvl>
    <w:lvl w:ilvl="8" w:tplc="1AB6F638" w:tentative="1">
      <w:start w:val="1"/>
      <w:numFmt w:val="bullet"/>
      <w:lvlText w:val="›"/>
      <w:lvlJc w:val="left"/>
      <w:pPr>
        <w:tabs>
          <w:tab w:val="num" w:pos="6480"/>
        </w:tabs>
        <w:ind w:left="6480" w:hanging="360"/>
      </w:pPr>
      <w:rPr>
        <w:rFonts w:ascii="Arial" w:hAnsi="Arial" w:hint="default"/>
      </w:r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7162EC"/>
    <w:multiLevelType w:val="hybridMultilevel"/>
    <w:tmpl w:val="6312258E"/>
    <w:lvl w:ilvl="0" w:tplc="244CC934">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235AA"/>
    <w:multiLevelType w:val="hybridMultilevel"/>
    <w:tmpl w:val="0C6AA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F372011"/>
    <w:multiLevelType w:val="hybridMultilevel"/>
    <w:tmpl w:val="C7E07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nsid w:val="40122FE5"/>
    <w:multiLevelType w:val="hybridMultilevel"/>
    <w:tmpl w:val="3EF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3E43B65"/>
    <w:multiLevelType w:val="hybridMultilevel"/>
    <w:tmpl w:val="786A2138"/>
    <w:lvl w:ilvl="0" w:tplc="DB90BBB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6DE0731"/>
    <w:multiLevelType w:val="hybridMultilevel"/>
    <w:tmpl w:val="5E185B04"/>
    <w:lvl w:ilvl="0" w:tplc="00483E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nsid w:val="55486537"/>
    <w:multiLevelType w:val="hybridMultilevel"/>
    <w:tmpl w:val="A4D6242C"/>
    <w:lvl w:ilvl="0" w:tplc="D57A3BE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C265AFB"/>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F86E17"/>
    <w:multiLevelType w:val="hybridMultilevel"/>
    <w:tmpl w:val="8672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5EC6931"/>
    <w:multiLevelType w:val="hybridMultilevel"/>
    <w:tmpl w:val="75EA18D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23068E8"/>
    <w:multiLevelType w:val="hybridMultilevel"/>
    <w:tmpl w:val="21EEF88A"/>
    <w:lvl w:ilvl="0" w:tplc="4AEE1762">
      <w:start w:val="1"/>
      <w:numFmt w:val="decimal"/>
      <w:lvlText w:val="%1)"/>
      <w:lvlJc w:val="left"/>
      <w:pPr>
        <w:ind w:left="644" w:hanging="360"/>
      </w:pPr>
      <w:rPr>
        <w:rFonts w:ascii="Times New Roman" w:eastAsia="Malgun Gothic"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3903C3D"/>
    <w:multiLevelType w:val="hybridMultilevel"/>
    <w:tmpl w:val="83140140"/>
    <w:lvl w:ilvl="0" w:tplc="5308F488">
      <w:start w:val="1"/>
      <w:numFmt w:val="bullet"/>
      <w:lvlText w:val="›"/>
      <w:lvlJc w:val="left"/>
      <w:pPr>
        <w:tabs>
          <w:tab w:val="num" w:pos="720"/>
        </w:tabs>
        <w:ind w:left="720" w:hanging="360"/>
      </w:pPr>
      <w:rPr>
        <w:rFonts w:ascii="Arial" w:hAnsi="Arial" w:hint="default"/>
      </w:rPr>
    </w:lvl>
    <w:lvl w:ilvl="1" w:tplc="8F6CA612">
      <w:start w:val="2470"/>
      <w:numFmt w:val="bullet"/>
      <w:lvlText w:val="–"/>
      <w:lvlJc w:val="left"/>
      <w:pPr>
        <w:tabs>
          <w:tab w:val="num" w:pos="1440"/>
        </w:tabs>
        <w:ind w:left="1440" w:hanging="360"/>
      </w:pPr>
      <w:rPr>
        <w:rFonts w:ascii="Ericsson Capital TT" w:hAnsi="Ericsson Capital TT" w:hint="default"/>
      </w:rPr>
    </w:lvl>
    <w:lvl w:ilvl="2" w:tplc="842E6C08" w:tentative="1">
      <w:start w:val="1"/>
      <w:numFmt w:val="bullet"/>
      <w:lvlText w:val="›"/>
      <w:lvlJc w:val="left"/>
      <w:pPr>
        <w:tabs>
          <w:tab w:val="num" w:pos="2160"/>
        </w:tabs>
        <w:ind w:left="2160" w:hanging="360"/>
      </w:pPr>
      <w:rPr>
        <w:rFonts w:ascii="Arial" w:hAnsi="Arial" w:hint="default"/>
      </w:rPr>
    </w:lvl>
    <w:lvl w:ilvl="3" w:tplc="D5E4435A" w:tentative="1">
      <w:start w:val="1"/>
      <w:numFmt w:val="bullet"/>
      <w:lvlText w:val="›"/>
      <w:lvlJc w:val="left"/>
      <w:pPr>
        <w:tabs>
          <w:tab w:val="num" w:pos="2880"/>
        </w:tabs>
        <w:ind w:left="2880" w:hanging="360"/>
      </w:pPr>
      <w:rPr>
        <w:rFonts w:ascii="Arial" w:hAnsi="Arial" w:hint="default"/>
      </w:rPr>
    </w:lvl>
    <w:lvl w:ilvl="4" w:tplc="31FA965E" w:tentative="1">
      <w:start w:val="1"/>
      <w:numFmt w:val="bullet"/>
      <w:lvlText w:val="›"/>
      <w:lvlJc w:val="left"/>
      <w:pPr>
        <w:tabs>
          <w:tab w:val="num" w:pos="3600"/>
        </w:tabs>
        <w:ind w:left="3600" w:hanging="360"/>
      </w:pPr>
      <w:rPr>
        <w:rFonts w:ascii="Arial" w:hAnsi="Arial" w:hint="default"/>
      </w:rPr>
    </w:lvl>
    <w:lvl w:ilvl="5" w:tplc="24B2384C" w:tentative="1">
      <w:start w:val="1"/>
      <w:numFmt w:val="bullet"/>
      <w:lvlText w:val="›"/>
      <w:lvlJc w:val="left"/>
      <w:pPr>
        <w:tabs>
          <w:tab w:val="num" w:pos="4320"/>
        </w:tabs>
        <w:ind w:left="4320" w:hanging="360"/>
      </w:pPr>
      <w:rPr>
        <w:rFonts w:ascii="Arial" w:hAnsi="Arial" w:hint="default"/>
      </w:rPr>
    </w:lvl>
    <w:lvl w:ilvl="6" w:tplc="4190910E" w:tentative="1">
      <w:start w:val="1"/>
      <w:numFmt w:val="bullet"/>
      <w:lvlText w:val="›"/>
      <w:lvlJc w:val="left"/>
      <w:pPr>
        <w:tabs>
          <w:tab w:val="num" w:pos="5040"/>
        </w:tabs>
        <w:ind w:left="5040" w:hanging="360"/>
      </w:pPr>
      <w:rPr>
        <w:rFonts w:ascii="Arial" w:hAnsi="Arial" w:hint="default"/>
      </w:rPr>
    </w:lvl>
    <w:lvl w:ilvl="7" w:tplc="37DEB634" w:tentative="1">
      <w:start w:val="1"/>
      <w:numFmt w:val="bullet"/>
      <w:lvlText w:val="›"/>
      <w:lvlJc w:val="left"/>
      <w:pPr>
        <w:tabs>
          <w:tab w:val="num" w:pos="5760"/>
        </w:tabs>
        <w:ind w:left="5760" w:hanging="360"/>
      </w:pPr>
      <w:rPr>
        <w:rFonts w:ascii="Arial" w:hAnsi="Arial" w:hint="default"/>
      </w:rPr>
    </w:lvl>
    <w:lvl w:ilvl="8" w:tplc="94B8F6AA" w:tentative="1">
      <w:start w:val="1"/>
      <w:numFmt w:val="bullet"/>
      <w:lvlText w:val="›"/>
      <w:lvlJc w:val="left"/>
      <w:pPr>
        <w:tabs>
          <w:tab w:val="num" w:pos="6480"/>
        </w:tabs>
        <w:ind w:left="6480" w:hanging="360"/>
      </w:pPr>
      <w:rPr>
        <w:rFonts w:ascii="Arial" w:hAnsi="Arial" w:hint="default"/>
      </w:rPr>
    </w:lvl>
  </w:abstractNum>
  <w:abstractNum w:abstractNumId="4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5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C619CC"/>
    <w:multiLevelType w:val="hybridMultilevel"/>
    <w:tmpl w:val="D8C0F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B343BA2"/>
    <w:multiLevelType w:val="hybridMultilevel"/>
    <w:tmpl w:val="F5F8C006"/>
    <w:lvl w:ilvl="0" w:tplc="427869AC">
      <w:start w:val="1"/>
      <w:numFmt w:val="bullet"/>
      <w:lvlText w:val="›"/>
      <w:lvlJc w:val="left"/>
      <w:pPr>
        <w:tabs>
          <w:tab w:val="num" w:pos="720"/>
        </w:tabs>
        <w:ind w:left="720" w:hanging="360"/>
      </w:pPr>
      <w:rPr>
        <w:rFonts w:ascii="Arial" w:hAnsi="Arial" w:hint="default"/>
      </w:rPr>
    </w:lvl>
    <w:lvl w:ilvl="1" w:tplc="6A746916">
      <w:start w:val="853"/>
      <w:numFmt w:val="bullet"/>
      <w:lvlText w:val="–"/>
      <w:lvlJc w:val="left"/>
      <w:pPr>
        <w:tabs>
          <w:tab w:val="num" w:pos="1440"/>
        </w:tabs>
        <w:ind w:left="1440" w:hanging="360"/>
      </w:pPr>
      <w:rPr>
        <w:rFonts w:ascii="Ericsson Capital TT" w:hAnsi="Ericsson Capital TT" w:hint="default"/>
      </w:rPr>
    </w:lvl>
    <w:lvl w:ilvl="2" w:tplc="F256671C">
      <w:start w:val="853"/>
      <w:numFmt w:val="bullet"/>
      <w:lvlText w:val="›"/>
      <w:lvlJc w:val="left"/>
      <w:pPr>
        <w:tabs>
          <w:tab w:val="num" w:pos="2160"/>
        </w:tabs>
        <w:ind w:left="2160" w:hanging="360"/>
      </w:pPr>
      <w:rPr>
        <w:rFonts w:ascii="Ericsson Capital TT" w:hAnsi="Ericsson Capital TT" w:hint="default"/>
      </w:rPr>
    </w:lvl>
    <w:lvl w:ilvl="3" w:tplc="FE0CC08C" w:tentative="1">
      <w:start w:val="1"/>
      <w:numFmt w:val="bullet"/>
      <w:lvlText w:val="›"/>
      <w:lvlJc w:val="left"/>
      <w:pPr>
        <w:tabs>
          <w:tab w:val="num" w:pos="2880"/>
        </w:tabs>
        <w:ind w:left="2880" w:hanging="360"/>
      </w:pPr>
      <w:rPr>
        <w:rFonts w:ascii="Arial" w:hAnsi="Arial" w:hint="default"/>
      </w:rPr>
    </w:lvl>
    <w:lvl w:ilvl="4" w:tplc="445ABA40" w:tentative="1">
      <w:start w:val="1"/>
      <w:numFmt w:val="bullet"/>
      <w:lvlText w:val="›"/>
      <w:lvlJc w:val="left"/>
      <w:pPr>
        <w:tabs>
          <w:tab w:val="num" w:pos="3600"/>
        </w:tabs>
        <w:ind w:left="3600" w:hanging="360"/>
      </w:pPr>
      <w:rPr>
        <w:rFonts w:ascii="Arial" w:hAnsi="Arial" w:hint="default"/>
      </w:rPr>
    </w:lvl>
    <w:lvl w:ilvl="5" w:tplc="BC4AD784" w:tentative="1">
      <w:start w:val="1"/>
      <w:numFmt w:val="bullet"/>
      <w:lvlText w:val="›"/>
      <w:lvlJc w:val="left"/>
      <w:pPr>
        <w:tabs>
          <w:tab w:val="num" w:pos="4320"/>
        </w:tabs>
        <w:ind w:left="4320" w:hanging="360"/>
      </w:pPr>
      <w:rPr>
        <w:rFonts w:ascii="Arial" w:hAnsi="Arial" w:hint="default"/>
      </w:rPr>
    </w:lvl>
    <w:lvl w:ilvl="6" w:tplc="7A2A080C" w:tentative="1">
      <w:start w:val="1"/>
      <w:numFmt w:val="bullet"/>
      <w:lvlText w:val="›"/>
      <w:lvlJc w:val="left"/>
      <w:pPr>
        <w:tabs>
          <w:tab w:val="num" w:pos="5040"/>
        </w:tabs>
        <w:ind w:left="5040" w:hanging="360"/>
      </w:pPr>
      <w:rPr>
        <w:rFonts w:ascii="Arial" w:hAnsi="Arial" w:hint="default"/>
      </w:rPr>
    </w:lvl>
    <w:lvl w:ilvl="7" w:tplc="1520B906" w:tentative="1">
      <w:start w:val="1"/>
      <w:numFmt w:val="bullet"/>
      <w:lvlText w:val="›"/>
      <w:lvlJc w:val="left"/>
      <w:pPr>
        <w:tabs>
          <w:tab w:val="num" w:pos="5760"/>
        </w:tabs>
        <w:ind w:left="5760" w:hanging="360"/>
      </w:pPr>
      <w:rPr>
        <w:rFonts w:ascii="Arial" w:hAnsi="Arial" w:hint="default"/>
      </w:rPr>
    </w:lvl>
    <w:lvl w:ilvl="8" w:tplc="90A2026E" w:tentative="1">
      <w:start w:val="1"/>
      <w:numFmt w:val="bullet"/>
      <w:lvlText w:val="›"/>
      <w:lvlJc w:val="left"/>
      <w:pPr>
        <w:tabs>
          <w:tab w:val="num" w:pos="6480"/>
        </w:tabs>
        <w:ind w:left="6480" w:hanging="360"/>
      </w:pPr>
      <w:rPr>
        <w:rFonts w:ascii="Arial" w:hAnsi="Arial" w:hint="default"/>
      </w:rPr>
    </w:lvl>
  </w:abstractNum>
  <w:abstractNum w:abstractNumId="54">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D6F6DF5"/>
    <w:multiLevelType w:val="hybridMultilevel"/>
    <w:tmpl w:val="2DB8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EE74151"/>
    <w:multiLevelType w:val="hybridMultilevel"/>
    <w:tmpl w:val="2BF49DC6"/>
    <w:lvl w:ilvl="0" w:tplc="F21CD0CE">
      <w:start w:val="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0"/>
  </w:num>
  <w:num w:numId="4">
    <w:abstractNumId w:val="21"/>
  </w:num>
  <w:num w:numId="5">
    <w:abstractNumId w:val="18"/>
  </w:num>
  <w:num w:numId="6">
    <w:abstractNumId w:val="24"/>
  </w:num>
  <w:num w:numId="7">
    <w:abstractNumId w:val="37"/>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29"/>
  </w:num>
  <w:num w:numId="15">
    <w:abstractNumId w:val="6"/>
  </w:num>
  <w:num w:numId="16">
    <w:abstractNumId w:val="31"/>
  </w:num>
  <w:num w:numId="17">
    <w:abstractNumId w:val="22"/>
  </w:num>
  <w:num w:numId="18">
    <w:abstractNumId w:val="33"/>
  </w:num>
  <w:num w:numId="19">
    <w:abstractNumId w:val="34"/>
  </w:num>
  <w:num w:numId="20">
    <w:abstractNumId w:val="8"/>
  </w:num>
  <w:num w:numId="21">
    <w:abstractNumId w:val="44"/>
  </w:num>
  <w:num w:numId="22">
    <w:abstractNumId w:val="42"/>
  </w:num>
  <w:num w:numId="23">
    <w:abstractNumId w:val="14"/>
  </w:num>
  <w:num w:numId="24">
    <w:abstractNumId w:val="20"/>
  </w:num>
  <w:num w:numId="25">
    <w:abstractNumId w:val="20"/>
    <w:lvlOverride w:ilvl="0">
      <w:startOverride w:val="1"/>
    </w:lvlOverride>
  </w:num>
  <w:num w:numId="26">
    <w:abstractNumId w:val="20"/>
    <w:lvlOverride w:ilvl="0">
      <w:startOverride w:val="1"/>
    </w:lvlOverride>
  </w:num>
  <w:num w:numId="27">
    <w:abstractNumId w:val="20"/>
    <w:lvlOverride w:ilvl="0">
      <w:startOverride w:val="1"/>
    </w:lvlOverride>
  </w:num>
  <w:num w:numId="28">
    <w:abstractNumId w:val="43"/>
  </w:num>
  <w:num w:numId="29">
    <w:abstractNumId w:val="46"/>
  </w:num>
  <w:num w:numId="30">
    <w:abstractNumId w:val="45"/>
  </w:num>
  <w:num w:numId="31">
    <w:abstractNumId w:val="39"/>
  </w:num>
  <w:num w:numId="32">
    <w:abstractNumId w:val="36"/>
  </w:num>
  <w:num w:numId="33">
    <w:abstractNumId w:val="15"/>
  </w:num>
  <w:num w:numId="34">
    <w:abstractNumId w:val="28"/>
  </w:num>
  <w:num w:numId="35">
    <w:abstractNumId w:val="49"/>
  </w:num>
  <w:num w:numId="36">
    <w:abstractNumId w:val="54"/>
  </w:num>
  <w:num w:numId="37">
    <w:abstractNumId w:val="52"/>
  </w:num>
  <w:num w:numId="38">
    <w:abstractNumId w:val="50"/>
  </w:num>
  <w:num w:numId="39">
    <w:abstractNumId w:val="17"/>
  </w:num>
  <w:num w:numId="40">
    <w:abstractNumId w:val="48"/>
  </w:num>
  <w:num w:numId="41">
    <w:abstractNumId w:val="47"/>
  </w:num>
  <w:num w:numId="42">
    <w:abstractNumId w:val="27"/>
  </w:num>
  <w:num w:numId="43">
    <w:abstractNumId w:val="38"/>
  </w:num>
  <w:num w:numId="44">
    <w:abstractNumId w:val="56"/>
  </w:num>
  <w:num w:numId="45">
    <w:abstractNumId w:val="40"/>
  </w:num>
  <w:num w:numId="46">
    <w:abstractNumId w:val="51"/>
  </w:num>
  <w:num w:numId="47">
    <w:abstractNumId w:val="7"/>
  </w:num>
  <w:num w:numId="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11"/>
  </w:num>
  <w:num w:numId="50">
    <w:abstractNumId w:val="26"/>
  </w:num>
  <w:num w:numId="51">
    <w:abstractNumId w:val="13"/>
  </w:num>
  <w:num w:numId="52">
    <w:abstractNumId w:val="3"/>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num>
  <w:num w:numId="55">
    <w:abstractNumId w:val="55"/>
  </w:num>
  <w:num w:numId="56">
    <w:abstractNumId w:val="53"/>
  </w:num>
  <w:num w:numId="57">
    <w:abstractNumId w:val="10"/>
  </w:num>
  <w:num w:numId="58">
    <w:abstractNumId w:val="41"/>
  </w:num>
  <w:num w:numId="59">
    <w:abstractNumId w:val="35"/>
  </w:num>
  <w:num w:numId="60">
    <w:abstractNumId w:val="25"/>
  </w:num>
  <w:num w:numId="61">
    <w:abstractNumId w:val="23"/>
  </w:num>
  <w:num w:numId="62">
    <w:abstractNumId w:val="12"/>
  </w:num>
  <w:num w:numId="63">
    <w:abstractNumId w:val="20"/>
    <w:lvlOverride w:ilvl="0">
      <w:startOverride w:val="1"/>
    </w:lvlOverride>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4B4"/>
    <w:rsid w:val="00006896"/>
    <w:rsid w:val="00007CDC"/>
    <w:rsid w:val="00011B28"/>
    <w:rsid w:val="00012CA8"/>
    <w:rsid w:val="00014632"/>
    <w:rsid w:val="00014A15"/>
    <w:rsid w:val="00015D15"/>
    <w:rsid w:val="00016927"/>
    <w:rsid w:val="00016C36"/>
    <w:rsid w:val="00023678"/>
    <w:rsid w:val="0002564D"/>
    <w:rsid w:val="00025ECA"/>
    <w:rsid w:val="00026B3C"/>
    <w:rsid w:val="000325B8"/>
    <w:rsid w:val="00032C1E"/>
    <w:rsid w:val="00034C15"/>
    <w:rsid w:val="0003595F"/>
    <w:rsid w:val="00036BA1"/>
    <w:rsid w:val="000422E2"/>
    <w:rsid w:val="00042F22"/>
    <w:rsid w:val="0004395C"/>
    <w:rsid w:val="000444EF"/>
    <w:rsid w:val="00047DBE"/>
    <w:rsid w:val="00047F1B"/>
    <w:rsid w:val="00050CBD"/>
    <w:rsid w:val="00052A07"/>
    <w:rsid w:val="000534E3"/>
    <w:rsid w:val="00053C13"/>
    <w:rsid w:val="00055BC1"/>
    <w:rsid w:val="00055F98"/>
    <w:rsid w:val="0005606A"/>
    <w:rsid w:val="00057117"/>
    <w:rsid w:val="000609B7"/>
    <w:rsid w:val="000616E7"/>
    <w:rsid w:val="00061EB1"/>
    <w:rsid w:val="0006487E"/>
    <w:rsid w:val="00065E1A"/>
    <w:rsid w:val="000668D7"/>
    <w:rsid w:val="00070EAF"/>
    <w:rsid w:val="00070FBD"/>
    <w:rsid w:val="00072A7B"/>
    <w:rsid w:val="00074E1A"/>
    <w:rsid w:val="00075985"/>
    <w:rsid w:val="0007709A"/>
    <w:rsid w:val="00077E5F"/>
    <w:rsid w:val="0008036A"/>
    <w:rsid w:val="00081843"/>
    <w:rsid w:val="00081AE6"/>
    <w:rsid w:val="00084170"/>
    <w:rsid w:val="000855EB"/>
    <w:rsid w:val="00085B52"/>
    <w:rsid w:val="000866F2"/>
    <w:rsid w:val="0009009F"/>
    <w:rsid w:val="00090CCA"/>
    <w:rsid w:val="00090DBC"/>
    <w:rsid w:val="00091557"/>
    <w:rsid w:val="000919F9"/>
    <w:rsid w:val="00092304"/>
    <w:rsid w:val="000924C1"/>
    <w:rsid w:val="000924F0"/>
    <w:rsid w:val="00093474"/>
    <w:rsid w:val="0009510F"/>
    <w:rsid w:val="0009617B"/>
    <w:rsid w:val="000A08D8"/>
    <w:rsid w:val="000A0AFD"/>
    <w:rsid w:val="000A1302"/>
    <w:rsid w:val="000A1B7B"/>
    <w:rsid w:val="000A36C3"/>
    <w:rsid w:val="000A56F2"/>
    <w:rsid w:val="000A57F6"/>
    <w:rsid w:val="000B135A"/>
    <w:rsid w:val="000B13C3"/>
    <w:rsid w:val="000B2719"/>
    <w:rsid w:val="000B3A8F"/>
    <w:rsid w:val="000B4AB9"/>
    <w:rsid w:val="000B58C3"/>
    <w:rsid w:val="000B61E9"/>
    <w:rsid w:val="000C038F"/>
    <w:rsid w:val="000C0D8A"/>
    <w:rsid w:val="000C1335"/>
    <w:rsid w:val="000C145C"/>
    <w:rsid w:val="000C165A"/>
    <w:rsid w:val="000C27C5"/>
    <w:rsid w:val="000C2E19"/>
    <w:rsid w:val="000C4FDC"/>
    <w:rsid w:val="000C7397"/>
    <w:rsid w:val="000D043C"/>
    <w:rsid w:val="000D0D07"/>
    <w:rsid w:val="000D2D69"/>
    <w:rsid w:val="000D4797"/>
    <w:rsid w:val="000D6C88"/>
    <w:rsid w:val="000E0527"/>
    <w:rsid w:val="000E14CD"/>
    <w:rsid w:val="000E1E92"/>
    <w:rsid w:val="000E4FD6"/>
    <w:rsid w:val="000F06D6"/>
    <w:rsid w:val="000F0EB1"/>
    <w:rsid w:val="000F1106"/>
    <w:rsid w:val="000F395E"/>
    <w:rsid w:val="000F3BE9"/>
    <w:rsid w:val="000F3F6C"/>
    <w:rsid w:val="000F6113"/>
    <w:rsid w:val="000F6DF3"/>
    <w:rsid w:val="001005FF"/>
    <w:rsid w:val="00100F45"/>
    <w:rsid w:val="001062FB"/>
    <w:rsid w:val="001063E6"/>
    <w:rsid w:val="00110233"/>
    <w:rsid w:val="001112D9"/>
    <w:rsid w:val="00111C55"/>
    <w:rsid w:val="00113CF4"/>
    <w:rsid w:val="001148DE"/>
    <w:rsid w:val="00115204"/>
    <w:rsid w:val="0011533F"/>
    <w:rsid w:val="001153EA"/>
    <w:rsid w:val="00115643"/>
    <w:rsid w:val="001163DE"/>
    <w:rsid w:val="001165DF"/>
    <w:rsid w:val="00116765"/>
    <w:rsid w:val="001175E7"/>
    <w:rsid w:val="00121646"/>
    <w:rsid w:val="001219F5"/>
    <w:rsid w:val="00121A20"/>
    <w:rsid w:val="0012377F"/>
    <w:rsid w:val="00123892"/>
    <w:rsid w:val="00124314"/>
    <w:rsid w:val="001247A9"/>
    <w:rsid w:val="00125675"/>
    <w:rsid w:val="00126B4A"/>
    <w:rsid w:val="001270D3"/>
    <w:rsid w:val="00132FD0"/>
    <w:rsid w:val="00133046"/>
    <w:rsid w:val="001344C0"/>
    <w:rsid w:val="001346FA"/>
    <w:rsid w:val="00134A8A"/>
    <w:rsid w:val="00135252"/>
    <w:rsid w:val="00136D89"/>
    <w:rsid w:val="00137728"/>
    <w:rsid w:val="00137AB5"/>
    <w:rsid w:val="00137F0B"/>
    <w:rsid w:val="0014242A"/>
    <w:rsid w:val="00143008"/>
    <w:rsid w:val="00143981"/>
    <w:rsid w:val="00145437"/>
    <w:rsid w:val="0014787F"/>
    <w:rsid w:val="001501DF"/>
    <w:rsid w:val="00151E23"/>
    <w:rsid w:val="001526E0"/>
    <w:rsid w:val="00154F6F"/>
    <w:rsid w:val="001551B5"/>
    <w:rsid w:val="0015609B"/>
    <w:rsid w:val="00156C41"/>
    <w:rsid w:val="001619D5"/>
    <w:rsid w:val="00161D58"/>
    <w:rsid w:val="0016231E"/>
    <w:rsid w:val="00162B29"/>
    <w:rsid w:val="001659C1"/>
    <w:rsid w:val="00165F18"/>
    <w:rsid w:val="0016637B"/>
    <w:rsid w:val="00173A8E"/>
    <w:rsid w:val="00177587"/>
    <w:rsid w:val="0018143F"/>
    <w:rsid w:val="00184610"/>
    <w:rsid w:val="00186A03"/>
    <w:rsid w:val="00187E11"/>
    <w:rsid w:val="00190AC1"/>
    <w:rsid w:val="0019341A"/>
    <w:rsid w:val="00193CFB"/>
    <w:rsid w:val="00193E67"/>
    <w:rsid w:val="0019501B"/>
    <w:rsid w:val="001955A4"/>
    <w:rsid w:val="00197DF9"/>
    <w:rsid w:val="001A1987"/>
    <w:rsid w:val="001A2564"/>
    <w:rsid w:val="001A2B06"/>
    <w:rsid w:val="001A2BE3"/>
    <w:rsid w:val="001A3BFF"/>
    <w:rsid w:val="001A3E31"/>
    <w:rsid w:val="001A6173"/>
    <w:rsid w:val="001A65E5"/>
    <w:rsid w:val="001A6CBA"/>
    <w:rsid w:val="001B0D97"/>
    <w:rsid w:val="001B1565"/>
    <w:rsid w:val="001B5A5D"/>
    <w:rsid w:val="001B644E"/>
    <w:rsid w:val="001C012C"/>
    <w:rsid w:val="001C06B5"/>
    <w:rsid w:val="001C14B6"/>
    <w:rsid w:val="001C1CE5"/>
    <w:rsid w:val="001C3D2A"/>
    <w:rsid w:val="001C4EEE"/>
    <w:rsid w:val="001C5759"/>
    <w:rsid w:val="001C597C"/>
    <w:rsid w:val="001D07CF"/>
    <w:rsid w:val="001D0E26"/>
    <w:rsid w:val="001D1598"/>
    <w:rsid w:val="001D20C3"/>
    <w:rsid w:val="001D37B3"/>
    <w:rsid w:val="001D4451"/>
    <w:rsid w:val="001D51BA"/>
    <w:rsid w:val="001D5491"/>
    <w:rsid w:val="001D61A9"/>
    <w:rsid w:val="001D6342"/>
    <w:rsid w:val="001D6D53"/>
    <w:rsid w:val="001E0114"/>
    <w:rsid w:val="001E1BFB"/>
    <w:rsid w:val="001E58E2"/>
    <w:rsid w:val="001E708F"/>
    <w:rsid w:val="001E7AED"/>
    <w:rsid w:val="001F05B2"/>
    <w:rsid w:val="001F1F08"/>
    <w:rsid w:val="001F2689"/>
    <w:rsid w:val="001F3916"/>
    <w:rsid w:val="001F450E"/>
    <w:rsid w:val="001F54C5"/>
    <w:rsid w:val="001F5DBD"/>
    <w:rsid w:val="001F662C"/>
    <w:rsid w:val="001F7074"/>
    <w:rsid w:val="001F7A85"/>
    <w:rsid w:val="00200490"/>
    <w:rsid w:val="00201F3A"/>
    <w:rsid w:val="00203226"/>
    <w:rsid w:val="00203F96"/>
    <w:rsid w:val="00205E4F"/>
    <w:rsid w:val="002069B2"/>
    <w:rsid w:val="00207FA3"/>
    <w:rsid w:val="0021200B"/>
    <w:rsid w:val="00214DA8"/>
    <w:rsid w:val="00215423"/>
    <w:rsid w:val="002158FA"/>
    <w:rsid w:val="00220600"/>
    <w:rsid w:val="002224DB"/>
    <w:rsid w:val="00223FCB"/>
    <w:rsid w:val="002252C3"/>
    <w:rsid w:val="00225C54"/>
    <w:rsid w:val="00226AA9"/>
    <w:rsid w:val="00230765"/>
    <w:rsid w:val="002307B5"/>
    <w:rsid w:val="00230D6D"/>
    <w:rsid w:val="002319E4"/>
    <w:rsid w:val="00233651"/>
    <w:rsid w:val="00235632"/>
    <w:rsid w:val="00235872"/>
    <w:rsid w:val="00235FBB"/>
    <w:rsid w:val="00236BF5"/>
    <w:rsid w:val="00241559"/>
    <w:rsid w:val="00241E63"/>
    <w:rsid w:val="002422F7"/>
    <w:rsid w:val="002435B3"/>
    <w:rsid w:val="002458EB"/>
    <w:rsid w:val="002500C8"/>
    <w:rsid w:val="00250523"/>
    <w:rsid w:val="002518D0"/>
    <w:rsid w:val="002556A1"/>
    <w:rsid w:val="00255D91"/>
    <w:rsid w:val="00257543"/>
    <w:rsid w:val="002617E7"/>
    <w:rsid w:val="00263B20"/>
    <w:rsid w:val="00264228"/>
    <w:rsid w:val="00264334"/>
    <w:rsid w:val="0026473E"/>
    <w:rsid w:val="00266214"/>
    <w:rsid w:val="00267C83"/>
    <w:rsid w:val="0027144F"/>
    <w:rsid w:val="00271874"/>
    <w:rsid w:val="00271899"/>
    <w:rsid w:val="00271F3A"/>
    <w:rsid w:val="002724CD"/>
    <w:rsid w:val="00273278"/>
    <w:rsid w:val="002737F4"/>
    <w:rsid w:val="00273CED"/>
    <w:rsid w:val="00274EB1"/>
    <w:rsid w:val="002763C9"/>
    <w:rsid w:val="00276EF5"/>
    <w:rsid w:val="002805F5"/>
    <w:rsid w:val="00280751"/>
    <w:rsid w:val="0028280A"/>
    <w:rsid w:val="002828DA"/>
    <w:rsid w:val="00286ACD"/>
    <w:rsid w:val="00287838"/>
    <w:rsid w:val="00290426"/>
    <w:rsid w:val="002907B5"/>
    <w:rsid w:val="00292DF8"/>
    <w:rsid w:val="00292EB7"/>
    <w:rsid w:val="00295E23"/>
    <w:rsid w:val="00296227"/>
    <w:rsid w:val="002962B1"/>
    <w:rsid w:val="0029692D"/>
    <w:rsid w:val="00296F44"/>
    <w:rsid w:val="0029777D"/>
    <w:rsid w:val="002A055E"/>
    <w:rsid w:val="002A1B4B"/>
    <w:rsid w:val="002A1D4E"/>
    <w:rsid w:val="002A2869"/>
    <w:rsid w:val="002A5CC4"/>
    <w:rsid w:val="002B0D5D"/>
    <w:rsid w:val="002B24D6"/>
    <w:rsid w:val="002B2626"/>
    <w:rsid w:val="002B5314"/>
    <w:rsid w:val="002B623B"/>
    <w:rsid w:val="002C0D21"/>
    <w:rsid w:val="002C0F0F"/>
    <w:rsid w:val="002C1235"/>
    <w:rsid w:val="002C3862"/>
    <w:rsid w:val="002C41E6"/>
    <w:rsid w:val="002C52C8"/>
    <w:rsid w:val="002C556C"/>
    <w:rsid w:val="002C5ACF"/>
    <w:rsid w:val="002C69AA"/>
    <w:rsid w:val="002D071A"/>
    <w:rsid w:val="002D2075"/>
    <w:rsid w:val="002D34B2"/>
    <w:rsid w:val="002D3E97"/>
    <w:rsid w:val="002D52CF"/>
    <w:rsid w:val="002D5437"/>
    <w:rsid w:val="002D5F0F"/>
    <w:rsid w:val="002D7637"/>
    <w:rsid w:val="002E0147"/>
    <w:rsid w:val="002E17DE"/>
    <w:rsid w:val="002E17F2"/>
    <w:rsid w:val="002E1D64"/>
    <w:rsid w:val="002E243B"/>
    <w:rsid w:val="002E6860"/>
    <w:rsid w:val="002E6C0D"/>
    <w:rsid w:val="002E7CAE"/>
    <w:rsid w:val="002E7E64"/>
    <w:rsid w:val="002F2771"/>
    <w:rsid w:val="002F37A9"/>
    <w:rsid w:val="002F7DA2"/>
    <w:rsid w:val="00301BCF"/>
    <w:rsid w:val="00301CE6"/>
    <w:rsid w:val="0030246E"/>
    <w:rsid w:val="0030256B"/>
    <w:rsid w:val="00302626"/>
    <w:rsid w:val="0030501F"/>
    <w:rsid w:val="003053DE"/>
    <w:rsid w:val="00307BA1"/>
    <w:rsid w:val="00311702"/>
    <w:rsid w:val="00311E82"/>
    <w:rsid w:val="00313E83"/>
    <w:rsid w:val="00313FD6"/>
    <w:rsid w:val="003140FC"/>
    <w:rsid w:val="003143BD"/>
    <w:rsid w:val="003203ED"/>
    <w:rsid w:val="0032131B"/>
    <w:rsid w:val="00322C9F"/>
    <w:rsid w:val="0032460C"/>
    <w:rsid w:val="00324D23"/>
    <w:rsid w:val="00326EC3"/>
    <w:rsid w:val="00330B5F"/>
    <w:rsid w:val="00331489"/>
    <w:rsid w:val="00331751"/>
    <w:rsid w:val="00334579"/>
    <w:rsid w:val="00335858"/>
    <w:rsid w:val="00336BDA"/>
    <w:rsid w:val="00341E28"/>
    <w:rsid w:val="00342681"/>
    <w:rsid w:val="0034291A"/>
    <w:rsid w:val="00342BD7"/>
    <w:rsid w:val="0034420A"/>
    <w:rsid w:val="00346DB5"/>
    <w:rsid w:val="00346DB6"/>
    <w:rsid w:val="003477B1"/>
    <w:rsid w:val="00356C79"/>
    <w:rsid w:val="00357380"/>
    <w:rsid w:val="00360071"/>
    <w:rsid w:val="003602D9"/>
    <w:rsid w:val="003604CE"/>
    <w:rsid w:val="00362A17"/>
    <w:rsid w:val="00365B8A"/>
    <w:rsid w:val="00370E47"/>
    <w:rsid w:val="003730DD"/>
    <w:rsid w:val="00373902"/>
    <w:rsid w:val="003742AC"/>
    <w:rsid w:val="00375476"/>
    <w:rsid w:val="00377117"/>
    <w:rsid w:val="00377CE1"/>
    <w:rsid w:val="0038054F"/>
    <w:rsid w:val="00381B3C"/>
    <w:rsid w:val="00381F5A"/>
    <w:rsid w:val="0038254D"/>
    <w:rsid w:val="00385065"/>
    <w:rsid w:val="00385BF0"/>
    <w:rsid w:val="00385E02"/>
    <w:rsid w:val="00390400"/>
    <w:rsid w:val="0039066C"/>
    <w:rsid w:val="00390684"/>
    <w:rsid w:val="003939FF"/>
    <w:rsid w:val="00394551"/>
    <w:rsid w:val="00394E96"/>
    <w:rsid w:val="00395801"/>
    <w:rsid w:val="003962AF"/>
    <w:rsid w:val="003977DD"/>
    <w:rsid w:val="00397AF7"/>
    <w:rsid w:val="003A2223"/>
    <w:rsid w:val="003A2983"/>
    <w:rsid w:val="003A2A0F"/>
    <w:rsid w:val="003A45A1"/>
    <w:rsid w:val="003A5186"/>
    <w:rsid w:val="003A5B0A"/>
    <w:rsid w:val="003A63C8"/>
    <w:rsid w:val="003A6BAC"/>
    <w:rsid w:val="003A6F87"/>
    <w:rsid w:val="003A7EF3"/>
    <w:rsid w:val="003A7F3C"/>
    <w:rsid w:val="003B05A5"/>
    <w:rsid w:val="003B0C87"/>
    <w:rsid w:val="003B159C"/>
    <w:rsid w:val="003B2AA0"/>
    <w:rsid w:val="003B369F"/>
    <w:rsid w:val="003B36A3"/>
    <w:rsid w:val="003B4CA0"/>
    <w:rsid w:val="003B6C7F"/>
    <w:rsid w:val="003B7FE5"/>
    <w:rsid w:val="003C11C8"/>
    <w:rsid w:val="003C1B54"/>
    <w:rsid w:val="003C2702"/>
    <w:rsid w:val="003C4985"/>
    <w:rsid w:val="003C4CE3"/>
    <w:rsid w:val="003C672E"/>
    <w:rsid w:val="003C7806"/>
    <w:rsid w:val="003D0396"/>
    <w:rsid w:val="003D109F"/>
    <w:rsid w:val="003D2478"/>
    <w:rsid w:val="003D301E"/>
    <w:rsid w:val="003D3754"/>
    <w:rsid w:val="003D3C45"/>
    <w:rsid w:val="003D5B1F"/>
    <w:rsid w:val="003D5BCD"/>
    <w:rsid w:val="003E0C14"/>
    <w:rsid w:val="003E0F3D"/>
    <w:rsid w:val="003E15FA"/>
    <w:rsid w:val="003E55E4"/>
    <w:rsid w:val="003E74E3"/>
    <w:rsid w:val="003F05C7"/>
    <w:rsid w:val="003F13DE"/>
    <w:rsid w:val="003F2CD4"/>
    <w:rsid w:val="003F3068"/>
    <w:rsid w:val="003F6BBE"/>
    <w:rsid w:val="004000E8"/>
    <w:rsid w:val="00400A95"/>
    <w:rsid w:val="00402E2B"/>
    <w:rsid w:val="00404507"/>
    <w:rsid w:val="0040512B"/>
    <w:rsid w:val="00405CA5"/>
    <w:rsid w:val="00407AB5"/>
    <w:rsid w:val="00407C4B"/>
    <w:rsid w:val="00407CD3"/>
    <w:rsid w:val="00410134"/>
    <w:rsid w:val="004102BC"/>
    <w:rsid w:val="00410B72"/>
    <w:rsid w:val="00410F18"/>
    <w:rsid w:val="004117A3"/>
    <w:rsid w:val="0041263E"/>
    <w:rsid w:val="00413AAC"/>
    <w:rsid w:val="00416427"/>
    <w:rsid w:val="00421105"/>
    <w:rsid w:val="00422C5A"/>
    <w:rsid w:val="004242F4"/>
    <w:rsid w:val="00424BAB"/>
    <w:rsid w:val="00427248"/>
    <w:rsid w:val="00427637"/>
    <w:rsid w:val="0043200E"/>
    <w:rsid w:val="004328C2"/>
    <w:rsid w:val="00432CFF"/>
    <w:rsid w:val="004358F0"/>
    <w:rsid w:val="00437447"/>
    <w:rsid w:val="00441134"/>
    <w:rsid w:val="00441A92"/>
    <w:rsid w:val="004428EF"/>
    <w:rsid w:val="00444F56"/>
    <w:rsid w:val="0044528E"/>
    <w:rsid w:val="00446488"/>
    <w:rsid w:val="00451122"/>
    <w:rsid w:val="004517AA"/>
    <w:rsid w:val="00452819"/>
    <w:rsid w:val="00452CAC"/>
    <w:rsid w:val="00452E9A"/>
    <w:rsid w:val="00454DAD"/>
    <w:rsid w:val="00457565"/>
    <w:rsid w:val="00457B71"/>
    <w:rsid w:val="00465F86"/>
    <w:rsid w:val="004669E2"/>
    <w:rsid w:val="00470C31"/>
    <w:rsid w:val="00471ED7"/>
    <w:rsid w:val="004734D0"/>
    <w:rsid w:val="0047475A"/>
    <w:rsid w:val="00474846"/>
    <w:rsid w:val="0047485F"/>
    <w:rsid w:val="0047556B"/>
    <w:rsid w:val="00475D5C"/>
    <w:rsid w:val="004766B4"/>
    <w:rsid w:val="00477768"/>
    <w:rsid w:val="004807EE"/>
    <w:rsid w:val="00482840"/>
    <w:rsid w:val="00483BB6"/>
    <w:rsid w:val="00486ACF"/>
    <w:rsid w:val="00487960"/>
    <w:rsid w:val="00492BC5"/>
    <w:rsid w:val="004961FA"/>
    <w:rsid w:val="004964F1"/>
    <w:rsid w:val="00497F83"/>
    <w:rsid w:val="004A16BC"/>
    <w:rsid w:val="004A2B94"/>
    <w:rsid w:val="004A3021"/>
    <w:rsid w:val="004A351F"/>
    <w:rsid w:val="004A5876"/>
    <w:rsid w:val="004A7D56"/>
    <w:rsid w:val="004B72BA"/>
    <w:rsid w:val="004B7C0C"/>
    <w:rsid w:val="004C379F"/>
    <w:rsid w:val="004C3898"/>
    <w:rsid w:val="004C4763"/>
    <w:rsid w:val="004C7E2C"/>
    <w:rsid w:val="004D10C4"/>
    <w:rsid w:val="004D1E06"/>
    <w:rsid w:val="004D341A"/>
    <w:rsid w:val="004D36B1"/>
    <w:rsid w:val="004D54D4"/>
    <w:rsid w:val="004D6C12"/>
    <w:rsid w:val="004D7EBD"/>
    <w:rsid w:val="004E1AF8"/>
    <w:rsid w:val="004E2680"/>
    <w:rsid w:val="004E28F9"/>
    <w:rsid w:val="004E462E"/>
    <w:rsid w:val="004E53C0"/>
    <w:rsid w:val="004E56DC"/>
    <w:rsid w:val="004E76F4"/>
    <w:rsid w:val="004F0979"/>
    <w:rsid w:val="004F0B4E"/>
    <w:rsid w:val="004F0B6C"/>
    <w:rsid w:val="004F0E13"/>
    <w:rsid w:val="004F0F89"/>
    <w:rsid w:val="004F14EE"/>
    <w:rsid w:val="004F1B01"/>
    <w:rsid w:val="004F2078"/>
    <w:rsid w:val="004F4DA3"/>
    <w:rsid w:val="004F6787"/>
    <w:rsid w:val="004F68E8"/>
    <w:rsid w:val="004F6FE0"/>
    <w:rsid w:val="00504B48"/>
    <w:rsid w:val="00506557"/>
    <w:rsid w:val="0050677A"/>
    <w:rsid w:val="00506BBB"/>
    <w:rsid w:val="005108D8"/>
    <w:rsid w:val="00510F41"/>
    <w:rsid w:val="005116F9"/>
    <w:rsid w:val="00512EAA"/>
    <w:rsid w:val="005153A7"/>
    <w:rsid w:val="00517AD0"/>
    <w:rsid w:val="00520159"/>
    <w:rsid w:val="00520B35"/>
    <w:rsid w:val="00520D36"/>
    <w:rsid w:val="005219CF"/>
    <w:rsid w:val="00524697"/>
    <w:rsid w:val="00527027"/>
    <w:rsid w:val="00530FD1"/>
    <w:rsid w:val="00531FAF"/>
    <w:rsid w:val="00532CBD"/>
    <w:rsid w:val="00534B59"/>
    <w:rsid w:val="00536759"/>
    <w:rsid w:val="00537B4E"/>
    <w:rsid w:val="00537C62"/>
    <w:rsid w:val="005402D6"/>
    <w:rsid w:val="005458D3"/>
    <w:rsid w:val="00546970"/>
    <w:rsid w:val="00547D9C"/>
    <w:rsid w:val="0055231F"/>
    <w:rsid w:val="00552857"/>
    <w:rsid w:val="005547DD"/>
    <w:rsid w:val="00554D68"/>
    <w:rsid w:val="00554E19"/>
    <w:rsid w:val="00557A2C"/>
    <w:rsid w:val="0056121F"/>
    <w:rsid w:val="005616EF"/>
    <w:rsid w:val="00564B7E"/>
    <w:rsid w:val="00565488"/>
    <w:rsid w:val="00566537"/>
    <w:rsid w:val="00566A7D"/>
    <w:rsid w:val="0057064B"/>
    <w:rsid w:val="00570A55"/>
    <w:rsid w:val="005710C1"/>
    <w:rsid w:val="00572505"/>
    <w:rsid w:val="0057260D"/>
    <w:rsid w:val="005743A5"/>
    <w:rsid w:val="00582809"/>
    <w:rsid w:val="00584948"/>
    <w:rsid w:val="00586499"/>
    <w:rsid w:val="00586EEB"/>
    <w:rsid w:val="0058798C"/>
    <w:rsid w:val="00587FA9"/>
    <w:rsid w:val="005900FA"/>
    <w:rsid w:val="005935A4"/>
    <w:rsid w:val="00593BBF"/>
    <w:rsid w:val="005948C2"/>
    <w:rsid w:val="00595DCA"/>
    <w:rsid w:val="0059779B"/>
    <w:rsid w:val="005A1ED4"/>
    <w:rsid w:val="005A209A"/>
    <w:rsid w:val="005A288A"/>
    <w:rsid w:val="005A662D"/>
    <w:rsid w:val="005A68BA"/>
    <w:rsid w:val="005B04A1"/>
    <w:rsid w:val="005B1CDF"/>
    <w:rsid w:val="005B2328"/>
    <w:rsid w:val="005B35D7"/>
    <w:rsid w:val="005B392A"/>
    <w:rsid w:val="005B3AA3"/>
    <w:rsid w:val="005B45B5"/>
    <w:rsid w:val="005B63B5"/>
    <w:rsid w:val="005B64F8"/>
    <w:rsid w:val="005B6F83"/>
    <w:rsid w:val="005B7576"/>
    <w:rsid w:val="005C1729"/>
    <w:rsid w:val="005C74FB"/>
    <w:rsid w:val="005D1602"/>
    <w:rsid w:val="005D2CE7"/>
    <w:rsid w:val="005D31E9"/>
    <w:rsid w:val="005D3406"/>
    <w:rsid w:val="005D6F32"/>
    <w:rsid w:val="005E1503"/>
    <w:rsid w:val="005E360A"/>
    <w:rsid w:val="005E385F"/>
    <w:rsid w:val="005E3CCA"/>
    <w:rsid w:val="005E3EAF"/>
    <w:rsid w:val="005E53EE"/>
    <w:rsid w:val="005E5834"/>
    <w:rsid w:val="005E5B81"/>
    <w:rsid w:val="005E673D"/>
    <w:rsid w:val="005F2CB1"/>
    <w:rsid w:val="005F3025"/>
    <w:rsid w:val="005F52C3"/>
    <w:rsid w:val="005F53F2"/>
    <w:rsid w:val="005F618C"/>
    <w:rsid w:val="005F70BD"/>
    <w:rsid w:val="00600F6A"/>
    <w:rsid w:val="006010AD"/>
    <w:rsid w:val="0060283C"/>
    <w:rsid w:val="00602907"/>
    <w:rsid w:val="00603050"/>
    <w:rsid w:val="00604F14"/>
    <w:rsid w:val="00605BE1"/>
    <w:rsid w:val="00605F9F"/>
    <w:rsid w:val="00607337"/>
    <w:rsid w:val="006119E8"/>
    <w:rsid w:val="00611B83"/>
    <w:rsid w:val="00613257"/>
    <w:rsid w:val="00614409"/>
    <w:rsid w:val="00615440"/>
    <w:rsid w:val="006157F0"/>
    <w:rsid w:val="00615B9D"/>
    <w:rsid w:val="0061697C"/>
    <w:rsid w:val="0061724D"/>
    <w:rsid w:val="00620A71"/>
    <w:rsid w:val="00620D80"/>
    <w:rsid w:val="006234A6"/>
    <w:rsid w:val="00623923"/>
    <w:rsid w:val="00625808"/>
    <w:rsid w:val="00630001"/>
    <w:rsid w:val="006311B3"/>
    <w:rsid w:val="00631F81"/>
    <w:rsid w:val="0063284C"/>
    <w:rsid w:val="00633C32"/>
    <w:rsid w:val="006360B8"/>
    <w:rsid w:val="00636398"/>
    <w:rsid w:val="006368D3"/>
    <w:rsid w:val="006368D6"/>
    <w:rsid w:val="00637518"/>
    <w:rsid w:val="006377EC"/>
    <w:rsid w:val="00637EFB"/>
    <w:rsid w:val="0064151F"/>
    <w:rsid w:val="00641533"/>
    <w:rsid w:val="00641D36"/>
    <w:rsid w:val="0064208D"/>
    <w:rsid w:val="00642EF2"/>
    <w:rsid w:val="00643475"/>
    <w:rsid w:val="0064396A"/>
    <w:rsid w:val="006439EF"/>
    <w:rsid w:val="00644194"/>
    <w:rsid w:val="00644F5F"/>
    <w:rsid w:val="00645491"/>
    <w:rsid w:val="0064592E"/>
    <w:rsid w:val="00646058"/>
    <w:rsid w:val="0064624E"/>
    <w:rsid w:val="006464C2"/>
    <w:rsid w:val="00647EE2"/>
    <w:rsid w:val="00650AB9"/>
    <w:rsid w:val="0065154C"/>
    <w:rsid w:val="006526EE"/>
    <w:rsid w:val="00654461"/>
    <w:rsid w:val="00655394"/>
    <w:rsid w:val="00655733"/>
    <w:rsid w:val="00655ACD"/>
    <w:rsid w:val="00655BB8"/>
    <w:rsid w:val="00656A92"/>
    <w:rsid w:val="00656DDE"/>
    <w:rsid w:val="00656EB3"/>
    <w:rsid w:val="0066011D"/>
    <w:rsid w:val="006607C0"/>
    <w:rsid w:val="006613A6"/>
    <w:rsid w:val="006627A2"/>
    <w:rsid w:val="0066290B"/>
    <w:rsid w:val="006634E6"/>
    <w:rsid w:val="0066461E"/>
    <w:rsid w:val="006655EE"/>
    <w:rsid w:val="00666EF0"/>
    <w:rsid w:val="00667122"/>
    <w:rsid w:val="00667EE7"/>
    <w:rsid w:val="00670922"/>
    <w:rsid w:val="00670BE1"/>
    <w:rsid w:val="0067218F"/>
    <w:rsid w:val="006741F2"/>
    <w:rsid w:val="00674CC3"/>
    <w:rsid w:val="0067562F"/>
    <w:rsid w:val="00675C72"/>
    <w:rsid w:val="006765A2"/>
    <w:rsid w:val="006771F9"/>
    <w:rsid w:val="00677351"/>
    <w:rsid w:val="006776D7"/>
    <w:rsid w:val="00681003"/>
    <w:rsid w:val="006817C9"/>
    <w:rsid w:val="00683ECE"/>
    <w:rsid w:val="00686480"/>
    <w:rsid w:val="00686F7A"/>
    <w:rsid w:val="006873CF"/>
    <w:rsid w:val="00694162"/>
    <w:rsid w:val="006948A8"/>
    <w:rsid w:val="00695FAE"/>
    <w:rsid w:val="00695FC2"/>
    <w:rsid w:val="006967F7"/>
    <w:rsid w:val="00696949"/>
    <w:rsid w:val="00697052"/>
    <w:rsid w:val="006979A5"/>
    <w:rsid w:val="006A0DAF"/>
    <w:rsid w:val="006A1462"/>
    <w:rsid w:val="006A46FB"/>
    <w:rsid w:val="006A5E28"/>
    <w:rsid w:val="006A697B"/>
    <w:rsid w:val="006A7AFF"/>
    <w:rsid w:val="006B0BB5"/>
    <w:rsid w:val="006B11EC"/>
    <w:rsid w:val="006B1204"/>
    <w:rsid w:val="006B1816"/>
    <w:rsid w:val="006B2099"/>
    <w:rsid w:val="006B50CF"/>
    <w:rsid w:val="006C03B8"/>
    <w:rsid w:val="006C14EE"/>
    <w:rsid w:val="006C3CC0"/>
    <w:rsid w:val="006C5DBA"/>
    <w:rsid w:val="006C5EC9"/>
    <w:rsid w:val="006C6059"/>
    <w:rsid w:val="006C728F"/>
    <w:rsid w:val="006C7522"/>
    <w:rsid w:val="006D1662"/>
    <w:rsid w:val="006D1BB3"/>
    <w:rsid w:val="006D43DA"/>
    <w:rsid w:val="006D5B70"/>
    <w:rsid w:val="006D5D33"/>
    <w:rsid w:val="006D5F1C"/>
    <w:rsid w:val="006D6B12"/>
    <w:rsid w:val="006D6F08"/>
    <w:rsid w:val="006D7D39"/>
    <w:rsid w:val="006E062C"/>
    <w:rsid w:val="006E28B7"/>
    <w:rsid w:val="006E2AD3"/>
    <w:rsid w:val="006E3310"/>
    <w:rsid w:val="006E4AAA"/>
    <w:rsid w:val="006E4E39"/>
    <w:rsid w:val="006E565E"/>
    <w:rsid w:val="006E64AA"/>
    <w:rsid w:val="006E673D"/>
    <w:rsid w:val="006E7D3B"/>
    <w:rsid w:val="006F08F0"/>
    <w:rsid w:val="006F0F8A"/>
    <w:rsid w:val="006F1B70"/>
    <w:rsid w:val="006F341D"/>
    <w:rsid w:val="006F3CDE"/>
    <w:rsid w:val="006F58D4"/>
    <w:rsid w:val="006F7DE7"/>
    <w:rsid w:val="007006BE"/>
    <w:rsid w:val="00700EEE"/>
    <w:rsid w:val="0070346E"/>
    <w:rsid w:val="00704EDB"/>
    <w:rsid w:val="00704FB5"/>
    <w:rsid w:val="00706101"/>
    <w:rsid w:val="00706393"/>
    <w:rsid w:val="00707072"/>
    <w:rsid w:val="00707D61"/>
    <w:rsid w:val="00712287"/>
    <w:rsid w:val="00712581"/>
    <w:rsid w:val="00712772"/>
    <w:rsid w:val="007148D3"/>
    <w:rsid w:val="00715B9A"/>
    <w:rsid w:val="007163AE"/>
    <w:rsid w:val="00717268"/>
    <w:rsid w:val="00717B7C"/>
    <w:rsid w:val="00720611"/>
    <w:rsid w:val="00720B7B"/>
    <w:rsid w:val="00722423"/>
    <w:rsid w:val="00722793"/>
    <w:rsid w:val="007233C9"/>
    <w:rsid w:val="00726EA6"/>
    <w:rsid w:val="00727208"/>
    <w:rsid w:val="00727680"/>
    <w:rsid w:val="00727CA8"/>
    <w:rsid w:val="007325A6"/>
    <w:rsid w:val="00732BA4"/>
    <w:rsid w:val="007348B1"/>
    <w:rsid w:val="00735268"/>
    <w:rsid w:val="00735AF5"/>
    <w:rsid w:val="007362A6"/>
    <w:rsid w:val="00736D7D"/>
    <w:rsid w:val="007376C6"/>
    <w:rsid w:val="00740E58"/>
    <w:rsid w:val="00741264"/>
    <w:rsid w:val="0074428B"/>
    <w:rsid w:val="007445A0"/>
    <w:rsid w:val="0074524B"/>
    <w:rsid w:val="00746D35"/>
    <w:rsid w:val="007477C9"/>
    <w:rsid w:val="00747D8B"/>
    <w:rsid w:val="007508A2"/>
    <w:rsid w:val="00751228"/>
    <w:rsid w:val="00751987"/>
    <w:rsid w:val="00754CF2"/>
    <w:rsid w:val="007566FD"/>
    <w:rsid w:val="007571E1"/>
    <w:rsid w:val="007600BF"/>
    <w:rsid w:val="007604B2"/>
    <w:rsid w:val="00765281"/>
    <w:rsid w:val="00766BAD"/>
    <w:rsid w:val="0076708C"/>
    <w:rsid w:val="007743E7"/>
    <w:rsid w:val="00774597"/>
    <w:rsid w:val="007746F2"/>
    <w:rsid w:val="0077488B"/>
    <w:rsid w:val="007752EB"/>
    <w:rsid w:val="007755F2"/>
    <w:rsid w:val="00776971"/>
    <w:rsid w:val="0078177E"/>
    <w:rsid w:val="007823EE"/>
    <w:rsid w:val="00782E81"/>
    <w:rsid w:val="0078304C"/>
    <w:rsid w:val="00783673"/>
    <w:rsid w:val="00784E9B"/>
    <w:rsid w:val="00785490"/>
    <w:rsid w:val="00786719"/>
    <w:rsid w:val="007925EA"/>
    <w:rsid w:val="0079296C"/>
    <w:rsid w:val="00793CD8"/>
    <w:rsid w:val="00795C92"/>
    <w:rsid w:val="00796231"/>
    <w:rsid w:val="007966F9"/>
    <w:rsid w:val="007A1CB3"/>
    <w:rsid w:val="007A306F"/>
    <w:rsid w:val="007A43A6"/>
    <w:rsid w:val="007A58A6"/>
    <w:rsid w:val="007B0147"/>
    <w:rsid w:val="007B1B55"/>
    <w:rsid w:val="007B3D2D"/>
    <w:rsid w:val="007B4EA0"/>
    <w:rsid w:val="007B50AE"/>
    <w:rsid w:val="007B51DF"/>
    <w:rsid w:val="007B700E"/>
    <w:rsid w:val="007C05DD"/>
    <w:rsid w:val="007C1C5E"/>
    <w:rsid w:val="007C1DDE"/>
    <w:rsid w:val="007C1DE0"/>
    <w:rsid w:val="007C3D18"/>
    <w:rsid w:val="007C60BF"/>
    <w:rsid w:val="007C6A07"/>
    <w:rsid w:val="007C75A1"/>
    <w:rsid w:val="007C77A5"/>
    <w:rsid w:val="007D04E5"/>
    <w:rsid w:val="007D524D"/>
    <w:rsid w:val="007D5901"/>
    <w:rsid w:val="007D7526"/>
    <w:rsid w:val="007E19A8"/>
    <w:rsid w:val="007E1DEB"/>
    <w:rsid w:val="007E298A"/>
    <w:rsid w:val="007E4610"/>
    <w:rsid w:val="007E4715"/>
    <w:rsid w:val="007E505B"/>
    <w:rsid w:val="007E7091"/>
    <w:rsid w:val="007E784D"/>
    <w:rsid w:val="007F0F17"/>
    <w:rsid w:val="007F60D8"/>
    <w:rsid w:val="008020C6"/>
    <w:rsid w:val="008036DB"/>
    <w:rsid w:val="00803FAE"/>
    <w:rsid w:val="0080605F"/>
    <w:rsid w:val="00806225"/>
    <w:rsid w:val="008066E2"/>
    <w:rsid w:val="00807786"/>
    <w:rsid w:val="00807B37"/>
    <w:rsid w:val="0081091E"/>
    <w:rsid w:val="0081144B"/>
    <w:rsid w:val="00811FCB"/>
    <w:rsid w:val="008158D6"/>
    <w:rsid w:val="00816048"/>
    <w:rsid w:val="00817196"/>
    <w:rsid w:val="00817C32"/>
    <w:rsid w:val="00820A46"/>
    <w:rsid w:val="0082332B"/>
    <w:rsid w:val="008235DB"/>
    <w:rsid w:val="00823BC9"/>
    <w:rsid w:val="00823C7F"/>
    <w:rsid w:val="0082478A"/>
    <w:rsid w:val="00824AB4"/>
    <w:rsid w:val="00825C42"/>
    <w:rsid w:val="00825D25"/>
    <w:rsid w:val="00826ADA"/>
    <w:rsid w:val="00826C8B"/>
    <w:rsid w:val="00827D6F"/>
    <w:rsid w:val="00830DC2"/>
    <w:rsid w:val="008348CD"/>
    <w:rsid w:val="00834F8F"/>
    <w:rsid w:val="0083700D"/>
    <w:rsid w:val="008376AC"/>
    <w:rsid w:val="00840A40"/>
    <w:rsid w:val="008414AE"/>
    <w:rsid w:val="00844269"/>
    <w:rsid w:val="008444E8"/>
    <w:rsid w:val="0084473E"/>
    <w:rsid w:val="00844E80"/>
    <w:rsid w:val="00846FE7"/>
    <w:rsid w:val="00856911"/>
    <w:rsid w:val="00857C85"/>
    <w:rsid w:val="0086614F"/>
    <w:rsid w:val="008677FD"/>
    <w:rsid w:val="008706D4"/>
    <w:rsid w:val="00870F8A"/>
    <w:rsid w:val="00871707"/>
    <w:rsid w:val="0087175C"/>
    <w:rsid w:val="008719A4"/>
    <w:rsid w:val="00871D23"/>
    <w:rsid w:val="00873127"/>
    <w:rsid w:val="00873177"/>
    <w:rsid w:val="00874312"/>
    <w:rsid w:val="0087437C"/>
    <w:rsid w:val="0087450C"/>
    <w:rsid w:val="00875119"/>
    <w:rsid w:val="00875CD7"/>
    <w:rsid w:val="00876B4D"/>
    <w:rsid w:val="00877F18"/>
    <w:rsid w:val="008804A8"/>
    <w:rsid w:val="008820BA"/>
    <w:rsid w:val="00882CA5"/>
    <w:rsid w:val="008842F2"/>
    <w:rsid w:val="00884BB3"/>
    <w:rsid w:val="008949BC"/>
    <w:rsid w:val="00894A88"/>
    <w:rsid w:val="00895386"/>
    <w:rsid w:val="00896419"/>
    <w:rsid w:val="00896A00"/>
    <w:rsid w:val="00896D74"/>
    <w:rsid w:val="008A0759"/>
    <w:rsid w:val="008A20FF"/>
    <w:rsid w:val="008A21FF"/>
    <w:rsid w:val="008A2CE2"/>
    <w:rsid w:val="008A30AC"/>
    <w:rsid w:val="008A44B8"/>
    <w:rsid w:val="008A51A8"/>
    <w:rsid w:val="008A54C7"/>
    <w:rsid w:val="008A54E0"/>
    <w:rsid w:val="008A77D8"/>
    <w:rsid w:val="008B0483"/>
    <w:rsid w:val="008B120C"/>
    <w:rsid w:val="008B51A0"/>
    <w:rsid w:val="008B592A"/>
    <w:rsid w:val="008B7B5C"/>
    <w:rsid w:val="008C0C99"/>
    <w:rsid w:val="008C2017"/>
    <w:rsid w:val="008C3368"/>
    <w:rsid w:val="008C3548"/>
    <w:rsid w:val="008C4958"/>
    <w:rsid w:val="008C4BAA"/>
    <w:rsid w:val="008C6AE8"/>
    <w:rsid w:val="008C7573"/>
    <w:rsid w:val="008D34F1"/>
    <w:rsid w:val="008D39D8"/>
    <w:rsid w:val="008D6D1A"/>
    <w:rsid w:val="008D6FC4"/>
    <w:rsid w:val="008D74B4"/>
    <w:rsid w:val="008E065E"/>
    <w:rsid w:val="008E0927"/>
    <w:rsid w:val="008E153D"/>
    <w:rsid w:val="008E1909"/>
    <w:rsid w:val="008E2C99"/>
    <w:rsid w:val="008E3FAE"/>
    <w:rsid w:val="008E7B12"/>
    <w:rsid w:val="008E7EFB"/>
    <w:rsid w:val="008F1EAB"/>
    <w:rsid w:val="008F201C"/>
    <w:rsid w:val="008F33DC"/>
    <w:rsid w:val="008F477F"/>
    <w:rsid w:val="008F523A"/>
    <w:rsid w:val="008F58A4"/>
    <w:rsid w:val="008F5CCA"/>
    <w:rsid w:val="00900ECF"/>
    <w:rsid w:val="00902350"/>
    <w:rsid w:val="0090336B"/>
    <w:rsid w:val="009046CF"/>
    <w:rsid w:val="009053AA"/>
    <w:rsid w:val="0090544E"/>
    <w:rsid w:val="00906939"/>
    <w:rsid w:val="00910B7D"/>
    <w:rsid w:val="00911DFB"/>
    <w:rsid w:val="009139D9"/>
    <w:rsid w:val="00913E71"/>
    <w:rsid w:val="00913F8F"/>
    <w:rsid w:val="00914AD8"/>
    <w:rsid w:val="009158A3"/>
    <w:rsid w:val="00916046"/>
    <w:rsid w:val="00916079"/>
    <w:rsid w:val="00916497"/>
    <w:rsid w:val="009167F1"/>
    <w:rsid w:val="00917CE9"/>
    <w:rsid w:val="00920BF2"/>
    <w:rsid w:val="00921421"/>
    <w:rsid w:val="00922010"/>
    <w:rsid w:val="00923C5A"/>
    <w:rsid w:val="00923CB7"/>
    <w:rsid w:val="00924516"/>
    <w:rsid w:val="00927915"/>
    <w:rsid w:val="00931363"/>
    <w:rsid w:val="00931BD9"/>
    <w:rsid w:val="009348E9"/>
    <w:rsid w:val="0093523B"/>
    <w:rsid w:val="00935485"/>
    <w:rsid w:val="009368F3"/>
    <w:rsid w:val="00940097"/>
    <w:rsid w:val="009414BC"/>
    <w:rsid w:val="00941636"/>
    <w:rsid w:val="00943742"/>
    <w:rsid w:val="00945C05"/>
    <w:rsid w:val="00946945"/>
    <w:rsid w:val="00947713"/>
    <w:rsid w:val="00947BF4"/>
    <w:rsid w:val="00950DE7"/>
    <w:rsid w:val="00950F60"/>
    <w:rsid w:val="00951AF2"/>
    <w:rsid w:val="00952E30"/>
    <w:rsid w:val="00953920"/>
    <w:rsid w:val="00953D47"/>
    <w:rsid w:val="00955FE8"/>
    <w:rsid w:val="0095681E"/>
    <w:rsid w:val="009572D4"/>
    <w:rsid w:val="00957B18"/>
    <w:rsid w:val="00961890"/>
    <w:rsid w:val="00961921"/>
    <w:rsid w:val="00962B73"/>
    <w:rsid w:val="0096355C"/>
    <w:rsid w:val="0096430A"/>
    <w:rsid w:val="0096554B"/>
    <w:rsid w:val="0096584A"/>
    <w:rsid w:val="009675AA"/>
    <w:rsid w:val="00971F08"/>
    <w:rsid w:val="0097256B"/>
    <w:rsid w:val="00975D73"/>
    <w:rsid w:val="0097603D"/>
    <w:rsid w:val="00976617"/>
    <w:rsid w:val="009768F5"/>
    <w:rsid w:val="00976949"/>
    <w:rsid w:val="00980477"/>
    <w:rsid w:val="00983BC4"/>
    <w:rsid w:val="00985253"/>
    <w:rsid w:val="009853B3"/>
    <w:rsid w:val="009861CA"/>
    <w:rsid w:val="00990630"/>
    <w:rsid w:val="0099153D"/>
    <w:rsid w:val="00991761"/>
    <w:rsid w:val="009925A4"/>
    <w:rsid w:val="009940CF"/>
    <w:rsid w:val="00994DCA"/>
    <w:rsid w:val="009960EC"/>
    <w:rsid w:val="009970DD"/>
    <w:rsid w:val="009976D3"/>
    <w:rsid w:val="009A04FA"/>
    <w:rsid w:val="009A0FBA"/>
    <w:rsid w:val="009A1601"/>
    <w:rsid w:val="009A2779"/>
    <w:rsid w:val="009A2BD6"/>
    <w:rsid w:val="009A462D"/>
    <w:rsid w:val="009A5CBA"/>
    <w:rsid w:val="009A7879"/>
    <w:rsid w:val="009A7E76"/>
    <w:rsid w:val="009B1F30"/>
    <w:rsid w:val="009B3AC2"/>
    <w:rsid w:val="009B4C70"/>
    <w:rsid w:val="009B4DF4"/>
    <w:rsid w:val="009B4F67"/>
    <w:rsid w:val="009B564E"/>
    <w:rsid w:val="009B5B99"/>
    <w:rsid w:val="009B7E87"/>
    <w:rsid w:val="009C28E1"/>
    <w:rsid w:val="009C403E"/>
    <w:rsid w:val="009C456E"/>
    <w:rsid w:val="009C6B78"/>
    <w:rsid w:val="009C7133"/>
    <w:rsid w:val="009D28AD"/>
    <w:rsid w:val="009D38B6"/>
    <w:rsid w:val="009D4FF0"/>
    <w:rsid w:val="009D58AB"/>
    <w:rsid w:val="009D5E5B"/>
    <w:rsid w:val="009D703C"/>
    <w:rsid w:val="009D718F"/>
    <w:rsid w:val="009E003C"/>
    <w:rsid w:val="009E068F"/>
    <w:rsid w:val="009E14E0"/>
    <w:rsid w:val="009E2225"/>
    <w:rsid w:val="009E23A5"/>
    <w:rsid w:val="009E35DB"/>
    <w:rsid w:val="009E3C4E"/>
    <w:rsid w:val="009E47A3"/>
    <w:rsid w:val="009E47BD"/>
    <w:rsid w:val="009E567A"/>
    <w:rsid w:val="009E7802"/>
    <w:rsid w:val="009F08F3"/>
    <w:rsid w:val="009F344F"/>
    <w:rsid w:val="009F40E2"/>
    <w:rsid w:val="009F7EC6"/>
    <w:rsid w:val="00A03892"/>
    <w:rsid w:val="00A04200"/>
    <w:rsid w:val="00A048A8"/>
    <w:rsid w:val="00A04F49"/>
    <w:rsid w:val="00A0684B"/>
    <w:rsid w:val="00A07372"/>
    <w:rsid w:val="00A07A3D"/>
    <w:rsid w:val="00A13E54"/>
    <w:rsid w:val="00A14603"/>
    <w:rsid w:val="00A17F63"/>
    <w:rsid w:val="00A20B9F"/>
    <w:rsid w:val="00A21852"/>
    <w:rsid w:val="00A2193B"/>
    <w:rsid w:val="00A233EB"/>
    <w:rsid w:val="00A2351A"/>
    <w:rsid w:val="00A23A3B"/>
    <w:rsid w:val="00A23B1D"/>
    <w:rsid w:val="00A255D5"/>
    <w:rsid w:val="00A264A9"/>
    <w:rsid w:val="00A27785"/>
    <w:rsid w:val="00A30187"/>
    <w:rsid w:val="00A31C10"/>
    <w:rsid w:val="00A32298"/>
    <w:rsid w:val="00A33A44"/>
    <w:rsid w:val="00A3448A"/>
    <w:rsid w:val="00A34AFB"/>
    <w:rsid w:val="00A36297"/>
    <w:rsid w:val="00A3793A"/>
    <w:rsid w:val="00A41D1F"/>
    <w:rsid w:val="00A41E2B"/>
    <w:rsid w:val="00A4230C"/>
    <w:rsid w:val="00A4315B"/>
    <w:rsid w:val="00A45B74"/>
    <w:rsid w:val="00A46EF6"/>
    <w:rsid w:val="00A506F6"/>
    <w:rsid w:val="00A52B62"/>
    <w:rsid w:val="00A52E1D"/>
    <w:rsid w:val="00A578C5"/>
    <w:rsid w:val="00A57A1E"/>
    <w:rsid w:val="00A60369"/>
    <w:rsid w:val="00A61499"/>
    <w:rsid w:val="00A61B1C"/>
    <w:rsid w:val="00A62A77"/>
    <w:rsid w:val="00A63483"/>
    <w:rsid w:val="00A6469E"/>
    <w:rsid w:val="00A65024"/>
    <w:rsid w:val="00A657D7"/>
    <w:rsid w:val="00A660AC"/>
    <w:rsid w:val="00A67E6C"/>
    <w:rsid w:val="00A70288"/>
    <w:rsid w:val="00A7147C"/>
    <w:rsid w:val="00A71B99"/>
    <w:rsid w:val="00A73355"/>
    <w:rsid w:val="00A739D0"/>
    <w:rsid w:val="00A761D4"/>
    <w:rsid w:val="00A77EC4"/>
    <w:rsid w:val="00A80760"/>
    <w:rsid w:val="00A82D5E"/>
    <w:rsid w:val="00A842FB"/>
    <w:rsid w:val="00A871DB"/>
    <w:rsid w:val="00A87699"/>
    <w:rsid w:val="00A87D23"/>
    <w:rsid w:val="00A90128"/>
    <w:rsid w:val="00A90FE6"/>
    <w:rsid w:val="00A917E8"/>
    <w:rsid w:val="00A92879"/>
    <w:rsid w:val="00A937F3"/>
    <w:rsid w:val="00A9442A"/>
    <w:rsid w:val="00A958A8"/>
    <w:rsid w:val="00AA016F"/>
    <w:rsid w:val="00AA1733"/>
    <w:rsid w:val="00AA1ED6"/>
    <w:rsid w:val="00AA4F83"/>
    <w:rsid w:val="00AA51D6"/>
    <w:rsid w:val="00AA74A6"/>
    <w:rsid w:val="00AA7770"/>
    <w:rsid w:val="00AA7BBE"/>
    <w:rsid w:val="00AB0745"/>
    <w:rsid w:val="00AB0BC8"/>
    <w:rsid w:val="00AB11CA"/>
    <w:rsid w:val="00AB14D9"/>
    <w:rsid w:val="00AB2E29"/>
    <w:rsid w:val="00AB4AB8"/>
    <w:rsid w:val="00AB4BF6"/>
    <w:rsid w:val="00AB655E"/>
    <w:rsid w:val="00AB7A70"/>
    <w:rsid w:val="00AB7DD1"/>
    <w:rsid w:val="00AC007F"/>
    <w:rsid w:val="00AC2ECD"/>
    <w:rsid w:val="00AC3119"/>
    <w:rsid w:val="00AC49FB"/>
    <w:rsid w:val="00AC510E"/>
    <w:rsid w:val="00AC54D0"/>
    <w:rsid w:val="00AC5A10"/>
    <w:rsid w:val="00AD0401"/>
    <w:rsid w:val="00AD0AA3"/>
    <w:rsid w:val="00AD1D0F"/>
    <w:rsid w:val="00AD3F94"/>
    <w:rsid w:val="00AD413A"/>
    <w:rsid w:val="00AD4A5A"/>
    <w:rsid w:val="00AD69D8"/>
    <w:rsid w:val="00AE0350"/>
    <w:rsid w:val="00AE27AC"/>
    <w:rsid w:val="00AE40E0"/>
    <w:rsid w:val="00AE4DBA"/>
    <w:rsid w:val="00AE4E8D"/>
    <w:rsid w:val="00AE4F07"/>
    <w:rsid w:val="00AE5CC0"/>
    <w:rsid w:val="00AE6033"/>
    <w:rsid w:val="00AE795A"/>
    <w:rsid w:val="00AE7C50"/>
    <w:rsid w:val="00AF1C5D"/>
    <w:rsid w:val="00AF42D7"/>
    <w:rsid w:val="00AF4EA5"/>
    <w:rsid w:val="00AF6823"/>
    <w:rsid w:val="00AF70B2"/>
    <w:rsid w:val="00B00164"/>
    <w:rsid w:val="00B006FE"/>
    <w:rsid w:val="00B007CB"/>
    <w:rsid w:val="00B02AA9"/>
    <w:rsid w:val="00B02C33"/>
    <w:rsid w:val="00B02FA3"/>
    <w:rsid w:val="00B034A3"/>
    <w:rsid w:val="00B04B2F"/>
    <w:rsid w:val="00B04DB1"/>
    <w:rsid w:val="00B05084"/>
    <w:rsid w:val="00B052B3"/>
    <w:rsid w:val="00B14820"/>
    <w:rsid w:val="00B152C0"/>
    <w:rsid w:val="00B157F9"/>
    <w:rsid w:val="00B16AFE"/>
    <w:rsid w:val="00B16D1C"/>
    <w:rsid w:val="00B1716C"/>
    <w:rsid w:val="00B17E63"/>
    <w:rsid w:val="00B20256"/>
    <w:rsid w:val="00B20D09"/>
    <w:rsid w:val="00B222B8"/>
    <w:rsid w:val="00B241B6"/>
    <w:rsid w:val="00B27135"/>
    <w:rsid w:val="00B2763F"/>
    <w:rsid w:val="00B27AAC"/>
    <w:rsid w:val="00B30929"/>
    <w:rsid w:val="00B344C8"/>
    <w:rsid w:val="00B34E8B"/>
    <w:rsid w:val="00B35F8B"/>
    <w:rsid w:val="00B362FC"/>
    <w:rsid w:val="00B372AA"/>
    <w:rsid w:val="00B40445"/>
    <w:rsid w:val="00B41888"/>
    <w:rsid w:val="00B4285C"/>
    <w:rsid w:val="00B42C88"/>
    <w:rsid w:val="00B436F4"/>
    <w:rsid w:val="00B43F98"/>
    <w:rsid w:val="00B45A52"/>
    <w:rsid w:val="00B46175"/>
    <w:rsid w:val="00B55D32"/>
    <w:rsid w:val="00B563F3"/>
    <w:rsid w:val="00B6605B"/>
    <w:rsid w:val="00B664C7"/>
    <w:rsid w:val="00B6789D"/>
    <w:rsid w:val="00B72152"/>
    <w:rsid w:val="00B739F6"/>
    <w:rsid w:val="00B73D94"/>
    <w:rsid w:val="00B7527D"/>
    <w:rsid w:val="00B7709A"/>
    <w:rsid w:val="00B8088E"/>
    <w:rsid w:val="00B816EA"/>
    <w:rsid w:val="00B818D5"/>
    <w:rsid w:val="00B81A6C"/>
    <w:rsid w:val="00B81B0D"/>
    <w:rsid w:val="00B83956"/>
    <w:rsid w:val="00B85DE5"/>
    <w:rsid w:val="00B87D10"/>
    <w:rsid w:val="00B87F36"/>
    <w:rsid w:val="00B90F73"/>
    <w:rsid w:val="00B92EA3"/>
    <w:rsid w:val="00B93B59"/>
    <w:rsid w:val="00B9406A"/>
    <w:rsid w:val="00B94D1D"/>
    <w:rsid w:val="00B95B9D"/>
    <w:rsid w:val="00B9650A"/>
    <w:rsid w:val="00BA2280"/>
    <w:rsid w:val="00BA2864"/>
    <w:rsid w:val="00BA2A08"/>
    <w:rsid w:val="00BA2CBB"/>
    <w:rsid w:val="00BA56D2"/>
    <w:rsid w:val="00BA76E0"/>
    <w:rsid w:val="00BB2A25"/>
    <w:rsid w:val="00BB51E9"/>
    <w:rsid w:val="00BB5F07"/>
    <w:rsid w:val="00BB6077"/>
    <w:rsid w:val="00BC0F95"/>
    <w:rsid w:val="00BC0FDC"/>
    <w:rsid w:val="00BC3053"/>
    <w:rsid w:val="00BC4D2E"/>
    <w:rsid w:val="00BC5FBA"/>
    <w:rsid w:val="00BC6FD2"/>
    <w:rsid w:val="00BC7149"/>
    <w:rsid w:val="00BC72EC"/>
    <w:rsid w:val="00BC7307"/>
    <w:rsid w:val="00BD09F7"/>
    <w:rsid w:val="00BD0FB0"/>
    <w:rsid w:val="00BD2FC2"/>
    <w:rsid w:val="00BD48AC"/>
    <w:rsid w:val="00BD5F1A"/>
    <w:rsid w:val="00BD762F"/>
    <w:rsid w:val="00BD7A42"/>
    <w:rsid w:val="00BE1234"/>
    <w:rsid w:val="00BE2FA6"/>
    <w:rsid w:val="00BE333F"/>
    <w:rsid w:val="00BE3373"/>
    <w:rsid w:val="00BE49D7"/>
    <w:rsid w:val="00BE5419"/>
    <w:rsid w:val="00BE6440"/>
    <w:rsid w:val="00BE7406"/>
    <w:rsid w:val="00BE7603"/>
    <w:rsid w:val="00BE7AA6"/>
    <w:rsid w:val="00BF0D96"/>
    <w:rsid w:val="00BF1E13"/>
    <w:rsid w:val="00BF3279"/>
    <w:rsid w:val="00BF354E"/>
    <w:rsid w:val="00BF48BE"/>
    <w:rsid w:val="00BF4D11"/>
    <w:rsid w:val="00BF5A81"/>
    <w:rsid w:val="00BF74C7"/>
    <w:rsid w:val="00C0015A"/>
    <w:rsid w:val="00C015F1"/>
    <w:rsid w:val="00C01F33"/>
    <w:rsid w:val="00C02CC6"/>
    <w:rsid w:val="00C040F7"/>
    <w:rsid w:val="00C044AB"/>
    <w:rsid w:val="00C04DD2"/>
    <w:rsid w:val="00C05706"/>
    <w:rsid w:val="00C07377"/>
    <w:rsid w:val="00C07506"/>
    <w:rsid w:val="00C07C43"/>
    <w:rsid w:val="00C10478"/>
    <w:rsid w:val="00C10F3D"/>
    <w:rsid w:val="00C1131A"/>
    <w:rsid w:val="00C12107"/>
    <w:rsid w:val="00C14D4B"/>
    <w:rsid w:val="00C154BB"/>
    <w:rsid w:val="00C20C42"/>
    <w:rsid w:val="00C21BAB"/>
    <w:rsid w:val="00C22738"/>
    <w:rsid w:val="00C244D7"/>
    <w:rsid w:val="00C24539"/>
    <w:rsid w:val="00C26D72"/>
    <w:rsid w:val="00C279B5"/>
    <w:rsid w:val="00C27AE9"/>
    <w:rsid w:val="00C27C45"/>
    <w:rsid w:val="00C36C34"/>
    <w:rsid w:val="00C3719D"/>
    <w:rsid w:val="00C40BC9"/>
    <w:rsid w:val="00C442B1"/>
    <w:rsid w:val="00C44BFE"/>
    <w:rsid w:val="00C45B86"/>
    <w:rsid w:val="00C46A94"/>
    <w:rsid w:val="00C4713E"/>
    <w:rsid w:val="00C51430"/>
    <w:rsid w:val="00C52C06"/>
    <w:rsid w:val="00C54995"/>
    <w:rsid w:val="00C54D41"/>
    <w:rsid w:val="00C60783"/>
    <w:rsid w:val="00C62A99"/>
    <w:rsid w:val="00C632A4"/>
    <w:rsid w:val="00C64672"/>
    <w:rsid w:val="00C65BC9"/>
    <w:rsid w:val="00C6628F"/>
    <w:rsid w:val="00C66B14"/>
    <w:rsid w:val="00C672E7"/>
    <w:rsid w:val="00C70697"/>
    <w:rsid w:val="00C7110B"/>
    <w:rsid w:val="00C72EF4"/>
    <w:rsid w:val="00C739B3"/>
    <w:rsid w:val="00C73A3F"/>
    <w:rsid w:val="00C75D2F"/>
    <w:rsid w:val="00C767BE"/>
    <w:rsid w:val="00C76E3C"/>
    <w:rsid w:val="00C7727D"/>
    <w:rsid w:val="00C77776"/>
    <w:rsid w:val="00C77795"/>
    <w:rsid w:val="00C80B95"/>
    <w:rsid w:val="00C81568"/>
    <w:rsid w:val="00C82AE9"/>
    <w:rsid w:val="00C861BA"/>
    <w:rsid w:val="00C9027A"/>
    <w:rsid w:val="00C9068E"/>
    <w:rsid w:val="00C92B2C"/>
    <w:rsid w:val="00C93C4B"/>
    <w:rsid w:val="00C944AB"/>
    <w:rsid w:val="00C94DB7"/>
    <w:rsid w:val="00C95293"/>
    <w:rsid w:val="00C95B40"/>
    <w:rsid w:val="00CA14BA"/>
    <w:rsid w:val="00CA1ED8"/>
    <w:rsid w:val="00CB09DB"/>
    <w:rsid w:val="00CB1F63"/>
    <w:rsid w:val="00CB23B1"/>
    <w:rsid w:val="00CB328C"/>
    <w:rsid w:val="00CB7170"/>
    <w:rsid w:val="00CC00DC"/>
    <w:rsid w:val="00CC040E"/>
    <w:rsid w:val="00CC111F"/>
    <w:rsid w:val="00CC2011"/>
    <w:rsid w:val="00CC3EA0"/>
    <w:rsid w:val="00CC5477"/>
    <w:rsid w:val="00CC64D0"/>
    <w:rsid w:val="00CC7B45"/>
    <w:rsid w:val="00CD0D4E"/>
    <w:rsid w:val="00CD1188"/>
    <w:rsid w:val="00CD127A"/>
    <w:rsid w:val="00CD2A2D"/>
    <w:rsid w:val="00CD2ED1"/>
    <w:rsid w:val="00CD337B"/>
    <w:rsid w:val="00CD48BC"/>
    <w:rsid w:val="00CD6EB6"/>
    <w:rsid w:val="00CD75BD"/>
    <w:rsid w:val="00CE0424"/>
    <w:rsid w:val="00CE1F01"/>
    <w:rsid w:val="00CE3D86"/>
    <w:rsid w:val="00CE7561"/>
    <w:rsid w:val="00CF04BB"/>
    <w:rsid w:val="00CF1354"/>
    <w:rsid w:val="00CF1BAB"/>
    <w:rsid w:val="00CF3681"/>
    <w:rsid w:val="00CF3B1F"/>
    <w:rsid w:val="00CF3BF6"/>
    <w:rsid w:val="00CF625B"/>
    <w:rsid w:val="00CF6399"/>
    <w:rsid w:val="00CF687E"/>
    <w:rsid w:val="00D00AE7"/>
    <w:rsid w:val="00D021B9"/>
    <w:rsid w:val="00D0268A"/>
    <w:rsid w:val="00D0349B"/>
    <w:rsid w:val="00D04411"/>
    <w:rsid w:val="00D0541D"/>
    <w:rsid w:val="00D10249"/>
    <w:rsid w:val="00D115C3"/>
    <w:rsid w:val="00D11897"/>
    <w:rsid w:val="00D13135"/>
    <w:rsid w:val="00D13E4E"/>
    <w:rsid w:val="00D17209"/>
    <w:rsid w:val="00D17692"/>
    <w:rsid w:val="00D20493"/>
    <w:rsid w:val="00D204F7"/>
    <w:rsid w:val="00D239A7"/>
    <w:rsid w:val="00D23F47"/>
    <w:rsid w:val="00D261DE"/>
    <w:rsid w:val="00D31DCA"/>
    <w:rsid w:val="00D321B4"/>
    <w:rsid w:val="00D32A9B"/>
    <w:rsid w:val="00D330F5"/>
    <w:rsid w:val="00D33D95"/>
    <w:rsid w:val="00D36E71"/>
    <w:rsid w:val="00D3710F"/>
    <w:rsid w:val="00D37D87"/>
    <w:rsid w:val="00D40B33"/>
    <w:rsid w:val="00D421FE"/>
    <w:rsid w:val="00D4318F"/>
    <w:rsid w:val="00D438BF"/>
    <w:rsid w:val="00D43AAA"/>
    <w:rsid w:val="00D440F8"/>
    <w:rsid w:val="00D4465F"/>
    <w:rsid w:val="00D44667"/>
    <w:rsid w:val="00D46E03"/>
    <w:rsid w:val="00D4714F"/>
    <w:rsid w:val="00D51C17"/>
    <w:rsid w:val="00D53963"/>
    <w:rsid w:val="00D546FF"/>
    <w:rsid w:val="00D547DD"/>
    <w:rsid w:val="00D549F6"/>
    <w:rsid w:val="00D54DAA"/>
    <w:rsid w:val="00D55AD5"/>
    <w:rsid w:val="00D576CA"/>
    <w:rsid w:val="00D61AF5"/>
    <w:rsid w:val="00D63D22"/>
    <w:rsid w:val="00D652B5"/>
    <w:rsid w:val="00D66155"/>
    <w:rsid w:val="00D66CAA"/>
    <w:rsid w:val="00D70559"/>
    <w:rsid w:val="00D708B0"/>
    <w:rsid w:val="00D72590"/>
    <w:rsid w:val="00D74902"/>
    <w:rsid w:val="00D77B1D"/>
    <w:rsid w:val="00D8021F"/>
    <w:rsid w:val="00D80383"/>
    <w:rsid w:val="00D80AC8"/>
    <w:rsid w:val="00D823C6"/>
    <w:rsid w:val="00D84043"/>
    <w:rsid w:val="00D86CA3"/>
    <w:rsid w:val="00D871CE"/>
    <w:rsid w:val="00D87C6E"/>
    <w:rsid w:val="00D9196D"/>
    <w:rsid w:val="00D92982"/>
    <w:rsid w:val="00D95DF5"/>
    <w:rsid w:val="00DA1092"/>
    <w:rsid w:val="00DA2F32"/>
    <w:rsid w:val="00DA305E"/>
    <w:rsid w:val="00DA5417"/>
    <w:rsid w:val="00DA56E8"/>
    <w:rsid w:val="00DA5BFE"/>
    <w:rsid w:val="00DB0A9F"/>
    <w:rsid w:val="00DB1138"/>
    <w:rsid w:val="00DB377D"/>
    <w:rsid w:val="00DB6176"/>
    <w:rsid w:val="00DB650E"/>
    <w:rsid w:val="00DB6F5A"/>
    <w:rsid w:val="00DB6FED"/>
    <w:rsid w:val="00DC1C50"/>
    <w:rsid w:val="00DC1D37"/>
    <w:rsid w:val="00DC2D36"/>
    <w:rsid w:val="00DC35E7"/>
    <w:rsid w:val="00DC53EF"/>
    <w:rsid w:val="00DC5F8E"/>
    <w:rsid w:val="00DC664E"/>
    <w:rsid w:val="00DD3327"/>
    <w:rsid w:val="00DD6051"/>
    <w:rsid w:val="00DD6BE3"/>
    <w:rsid w:val="00DD6CA7"/>
    <w:rsid w:val="00DE1D3A"/>
    <w:rsid w:val="00DE3BDB"/>
    <w:rsid w:val="00DE5608"/>
    <w:rsid w:val="00DE58D0"/>
    <w:rsid w:val="00DE654F"/>
    <w:rsid w:val="00DE7A08"/>
    <w:rsid w:val="00DF0B6E"/>
    <w:rsid w:val="00DF15E0"/>
    <w:rsid w:val="00DF195B"/>
    <w:rsid w:val="00DF1EF3"/>
    <w:rsid w:val="00DF37A0"/>
    <w:rsid w:val="00DF41C8"/>
    <w:rsid w:val="00DF44D9"/>
    <w:rsid w:val="00DF5B71"/>
    <w:rsid w:val="00DF5EB5"/>
    <w:rsid w:val="00DF7229"/>
    <w:rsid w:val="00E00660"/>
    <w:rsid w:val="00E00BE1"/>
    <w:rsid w:val="00E05606"/>
    <w:rsid w:val="00E07842"/>
    <w:rsid w:val="00E110E7"/>
    <w:rsid w:val="00E116D3"/>
    <w:rsid w:val="00E11B20"/>
    <w:rsid w:val="00E1403A"/>
    <w:rsid w:val="00E140BE"/>
    <w:rsid w:val="00E14C07"/>
    <w:rsid w:val="00E14DE4"/>
    <w:rsid w:val="00E15FF9"/>
    <w:rsid w:val="00E17FA2"/>
    <w:rsid w:val="00E22330"/>
    <w:rsid w:val="00E23A26"/>
    <w:rsid w:val="00E24655"/>
    <w:rsid w:val="00E24F7E"/>
    <w:rsid w:val="00E3069F"/>
    <w:rsid w:val="00E30B5A"/>
    <w:rsid w:val="00E30DC9"/>
    <w:rsid w:val="00E30E5A"/>
    <w:rsid w:val="00E3123D"/>
    <w:rsid w:val="00E31461"/>
    <w:rsid w:val="00E31D43"/>
    <w:rsid w:val="00E32608"/>
    <w:rsid w:val="00E34188"/>
    <w:rsid w:val="00E3425A"/>
    <w:rsid w:val="00E34B6E"/>
    <w:rsid w:val="00E35559"/>
    <w:rsid w:val="00E35D73"/>
    <w:rsid w:val="00E35D9F"/>
    <w:rsid w:val="00E3723A"/>
    <w:rsid w:val="00E372B8"/>
    <w:rsid w:val="00E3747A"/>
    <w:rsid w:val="00E37860"/>
    <w:rsid w:val="00E40525"/>
    <w:rsid w:val="00E446F1"/>
    <w:rsid w:val="00E447D4"/>
    <w:rsid w:val="00E454EB"/>
    <w:rsid w:val="00E45DF7"/>
    <w:rsid w:val="00E46159"/>
    <w:rsid w:val="00E46886"/>
    <w:rsid w:val="00E47AEF"/>
    <w:rsid w:val="00E50DDC"/>
    <w:rsid w:val="00E52A05"/>
    <w:rsid w:val="00E53B75"/>
    <w:rsid w:val="00E54E3B"/>
    <w:rsid w:val="00E5597C"/>
    <w:rsid w:val="00E56BB1"/>
    <w:rsid w:val="00E573A9"/>
    <w:rsid w:val="00E57565"/>
    <w:rsid w:val="00E60A09"/>
    <w:rsid w:val="00E614B8"/>
    <w:rsid w:val="00E6293D"/>
    <w:rsid w:val="00E63838"/>
    <w:rsid w:val="00E642AE"/>
    <w:rsid w:val="00E64434"/>
    <w:rsid w:val="00E6552D"/>
    <w:rsid w:val="00E658F2"/>
    <w:rsid w:val="00E67C51"/>
    <w:rsid w:val="00E70801"/>
    <w:rsid w:val="00E72EFC"/>
    <w:rsid w:val="00E75038"/>
    <w:rsid w:val="00E758EC"/>
    <w:rsid w:val="00E77CCC"/>
    <w:rsid w:val="00E80A45"/>
    <w:rsid w:val="00E8234C"/>
    <w:rsid w:val="00E83AA9"/>
    <w:rsid w:val="00E84956"/>
    <w:rsid w:val="00E85928"/>
    <w:rsid w:val="00E87822"/>
    <w:rsid w:val="00E87F44"/>
    <w:rsid w:val="00E90395"/>
    <w:rsid w:val="00E90E49"/>
    <w:rsid w:val="00E9132B"/>
    <w:rsid w:val="00E917F9"/>
    <w:rsid w:val="00E9291C"/>
    <w:rsid w:val="00E93FFE"/>
    <w:rsid w:val="00E940BF"/>
    <w:rsid w:val="00E944AB"/>
    <w:rsid w:val="00E94F8A"/>
    <w:rsid w:val="00E951EC"/>
    <w:rsid w:val="00E9752B"/>
    <w:rsid w:val="00EA47DE"/>
    <w:rsid w:val="00EA6002"/>
    <w:rsid w:val="00EA7A41"/>
    <w:rsid w:val="00EB031C"/>
    <w:rsid w:val="00EB077B"/>
    <w:rsid w:val="00EB2AF0"/>
    <w:rsid w:val="00EB49E3"/>
    <w:rsid w:val="00EB4EA2"/>
    <w:rsid w:val="00EB4F12"/>
    <w:rsid w:val="00EB5EE0"/>
    <w:rsid w:val="00EB7E86"/>
    <w:rsid w:val="00EC27C6"/>
    <w:rsid w:val="00EC2CEB"/>
    <w:rsid w:val="00EC385F"/>
    <w:rsid w:val="00EC4207"/>
    <w:rsid w:val="00EC5653"/>
    <w:rsid w:val="00EC71CE"/>
    <w:rsid w:val="00ED1006"/>
    <w:rsid w:val="00ED1628"/>
    <w:rsid w:val="00ED2AAD"/>
    <w:rsid w:val="00ED44FC"/>
    <w:rsid w:val="00ED68C3"/>
    <w:rsid w:val="00ED7D94"/>
    <w:rsid w:val="00EE2BAF"/>
    <w:rsid w:val="00EE38C6"/>
    <w:rsid w:val="00EE7299"/>
    <w:rsid w:val="00EF18FE"/>
    <w:rsid w:val="00EF2C61"/>
    <w:rsid w:val="00EF3C81"/>
    <w:rsid w:val="00EF4221"/>
    <w:rsid w:val="00EF4650"/>
    <w:rsid w:val="00EF4C30"/>
    <w:rsid w:val="00EF5787"/>
    <w:rsid w:val="00EF60D0"/>
    <w:rsid w:val="00F02FF7"/>
    <w:rsid w:val="00F0528D"/>
    <w:rsid w:val="00F06C67"/>
    <w:rsid w:val="00F06DFD"/>
    <w:rsid w:val="00F071D1"/>
    <w:rsid w:val="00F07533"/>
    <w:rsid w:val="00F07FB1"/>
    <w:rsid w:val="00F10595"/>
    <w:rsid w:val="00F10629"/>
    <w:rsid w:val="00F15CB6"/>
    <w:rsid w:val="00F15FA5"/>
    <w:rsid w:val="00F17C71"/>
    <w:rsid w:val="00F209B7"/>
    <w:rsid w:val="00F20D33"/>
    <w:rsid w:val="00F2376F"/>
    <w:rsid w:val="00F243D8"/>
    <w:rsid w:val="00F2556B"/>
    <w:rsid w:val="00F262AD"/>
    <w:rsid w:val="00F26FFB"/>
    <w:rsid w:val="00F27B04"/>
    <w:rsid w:val="00F30828"/>
    <w:rsid w:val="00F313D6"/>
    <w:rsid w:val="00F341DA"/>
    <w:rsid w:val="00F36672"/>
    <w:rsid w:val="00F40F0C"/>
    <w:rsid w:val="00F42239"/>
    <w:rsid w:val="00F468B7"/>
    <w:rsid w:val="00F4766C"/>
    <w:rsid w:val="00F50548"/>
    <w:rsid w:val="00F507D1"/>
    <w:rsid w:val="00F50B3D"/>
    <w:rsid w:val="00F514BD"/>
    <w:rsid w:val="00F519CE"/>
    <w:rsid w:val="00F51ADA"/>
    <w:rsid w:val="00F52048"/>
    <w:rsid w:val="00F52FB5"/>
    <w:rsid w:val="00F56091"/>
    <w:rsid w:val="00F607C5"/>
    <w:rsid w:val="00F60DEA"/>
    <w:rsid w:val="00F62167"/>
    <w:rsid w:val="00F6302A"/>
    <w:rsid w:val="00F64C2B"/>
    <w:rsid w:val="00F651BE"/>
    <w:rsid w:val="00F67F53"/>
    <w:rsid w:val="00F703BE"/>
    <w:rsid w:val="00F7086B"/>
    <w:rsid w:val="00F711E4"/>
    <w:rsid w:val="00F71F69"/>
    <w:rsid w:val="00F72898"/>
    <w:rsid w:val="00F72B72"/>
    <w:rsid w:val="00F72EA9"/>
    <w:rsid w:val="00F74390"/>
    <w:rsid w:val="00F74B97"/>
    <w:rsid w:val="00F74BB9"/>
    <w:rsid w:val="00F74BD3"/>
    <w:rsid w:val="00F75582"/>
    <w:rsid w:val="00F762CA"/>
    <w:rsid w:val="00F76EFA"/>
    <w:rsid w:val="00F8033E"/>
    <w:rsid w:val="00F804BE"/>
    <w:rsid w:val="00F817CE"/>
    <w:rsid w:val="00F81AF6"/>
    <w:rsid w:val="00F8456C"/>
    <w:rsid w:val="00F848DD"/>
    <w:rsid w:val="00F84D56"/>
    <w:rsid w:val="00F859D8"/>
    <w:rsid w:val="00F8626D"/>
    <w:rsid w:val="00F86334"/>
    <w:rsid w:val="00F868F5"/>
    <w:rsid w:val="00F86DFC"/>
    <w:rsid w:val="00F9056A"/>
    <w:rsid w:val="00F90A97"/>
    <w:rsid w:val="00F90F8D"/>
    <w:rsid w:val="00F92782"/>
    <w:rsid w:val="00F93A82"/>
    <w:rsid w:val="00F93AA9"/>
    <w:rsid w:val="00F94ED7"/>
    <w:rsid w:val="00F96985"/>
    <w:rsid w:val="00F96FCD"/>
    <w:rsid w:val="00F974D0"/>
    <w:rsid w:val="00F97838"/>
    <w:rsid w:val="00FA2BB3"/>
    <w:rsid w:val="00FA4075"/>
    <w:rsid w:val="00FA6B56"/>
    <w:rsid w:val="00FA6C38"/>
    <w:rsid w:val="00FA78D9"/>
    <w:rsid w:val="00FB05A7"/>
    <w:rsid w:val="00FB216B"/>
    <w:rsid w:val="00FB3B05"/>
    <w:rsid w:val="00FB4C80"/>
    <w:rsid w:val="00FB6A6A"/>
    <w:rsid w:val="00FB7290"/>
    <w:rsid w:val="00FB7AE3"/>
    <w:rsid w:val="00FC1270"/>
    <w:rsid w:val="00FC4E33"/>
    <w:rsid w:val="00FC51D7"/>
    <w:rsid w:val="00FC5320"/>
    <w:rsid w:val="00FC5A75"/>
    <w:rsid w:val="00FC721F"/>
    <w:rsid w:val="00FC7429"/>
    <w:rsid w:val="00FC74B1"/>
    <w:rsid w:val="00FD07F6"/>
    <w:rsid w:val="00FD0EE5"/>
    <w:rsid w:val="00FD1EC8"/>
    <w:rsid w:val="00FD22E9"/>
    <w:rsid w:val="00FD2354"/>
    <w:rsid w:val="00FD28DA"/>
    <w:rsid w:val="00FD47ED"/>
    <w:rsid w:val="00FD50C6"/>
    <w:rsid w:val="00FD6026"/>
    <w:rsid w:val="00FD65AC"/>
    <w:rsid w:val="00FD6825"/>
    <w:rsid w:val="00FD74DB"/>
    <w:rsid w:val="00FD7660"/>
    <w:rsid w:val="00FE0655"/>
    <w:rsid w:val="00FE2365"/>
    <w:rsid w:val="00FE2ABC"/>
    <w:rsid w:val="00FE37D6"/>
    <w:rsid w:val="00FE4329"/>
    <w:rsid w:val="00FE4C7B"/>
    <w:rsid w:val="00FE7336"/>
    <w:rsid w:val="00FE787C"/>
    <w:rsid w:val="00FF1750"/>
    <w:rsid w:val="00FF2714"/>
    <w:rsid w:val="00FF44FC"/>
    <w:rsid w:val="00FF45A5"/>
    <w:rsid w:val="00FF5055"/>
    <w:rsid w:val="00FF5AB8"/>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72590"/>
    <w:pPr>
      <w:numPr>
        <w:ilvl w:val="1"/>
      </w:numPr>
      <w:pBdr>
        <w:top w:val="none" w:sz="0" w:space="0" w:color="auto"/>
      </w:pBdr>
      <w:tabs>
        <w:tab w:val="clear" w:pos="444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character" w:customStyle="1" w:styleId="B1Char1">
    <w:name w:val="B1 Char1"/>
    <w:locked/>
    <w:rsid w:val="00EA6002"/>
    <w:rPr>
      <w:rFonts w:ascii="Arial" w:hAnsi="Arial" w:cs="Arial"/>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72590"/>
    <w:pPr>
      <w:numPr>
        <w:ilvl w:val="1"/>
      </w:numPr>
      <w:pBdr>
        <w:top w:val="none" w:sz="0" w:space="0" w:color="auto"/>
      </w:pBdr>
      <w:tabs>
        <w:tab w:val="clear" w:pos="444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1429"/>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50F60"/>
    <w:rPr>
      <w:rFonts w:ascii="Arial" w:hAnsi="Arial"/>
      <w:lang w:val="en-GB" w:eastAsia="zh-CN"/>
    </w:rPr>
  </w:style>
  <w:style w:type="character" w:customStyle="1" w:styleId="CommentTextChar">
    <w:name w:val="Comment Text Char"/>
    <w:basedOn w:val="DefaultParagraphFont"/>
    <w:link w:val="CommentText"/>
    <w:semiHidden/>
    <w:rsid w:val="00407C4B"/>
    <w:rPr>
      <w:rFonts w:ascii="Arial" w:hAnsi="Arial"/>
      <w:lang w:val="en-GB" w:eastAsia="zh-CN"/>
    </w:rPr>
  </w:style>
  <w:style w:type="paragraph" w:customStyle="1" w:styleId="Paragraph">
    <w:name w:val="Paragraph"/>
    <w:basedOn w:val="BodyText"/>
    <w:link w:val="ParagraphChar"/>
    <w:uiPriority w:val="99"/>
    <w:rsid w:val="00741264"/>
    <w:pPr>
      <w:overflowPunct/>
      <w:autoSpaceDE/>
      <w:autoSpaceDN/>
      <w:adjustRightInd/>
      <w:textAlignment w:val="auto"/>
    </w:pPr>
    <w:rPr>
      <w:sz w:val="24"/>
      <w:lang w:eastAsia="en-US"/>
    </w:rPr>
  </w:style>
  <w:style w:type="character" w:customStyle="1" w:styleId="ParagraphChar">
    <w:name w:val="Paragraph Char"/>
    <w:link w:val="Paragraph"/>
    <w:uiPriority w:val="99"/>
    <w:locked/>
    <w:rsid w:val="00741264"/>
    <w:rPr>
      <w:rFonts w:ascii="Arial" w:hAnsi="Arial"/>
      <w:sz w:val="24"/>
      <w:lang w:val="en-GB"/>
    </w:rPr>
  </w:style>
  <w:style w:type="character" w:styleId="Emphasis">
    <w:name w:val="Emphasis"/>
    <w:basedOn w:val="DefaultParagraphFont"/>
    <w:qFormat/>
    <w:rsid w:val="00075985"/>
    <w:rPr>
      <w:i/>
      <w:iCs/>
    </w:rPr>
  </w:style>
  <w:style w:type="character" w:customStyle="1" w:styleId="B1Zchn">
    <w:name w:val="B1 Zchn"/>
    <w:basedOn w:val="DefaultParagraphFont"/>
    <w:link w:val="B1"/>
    <w:rsid w:val="003A2983"/>
    <w:rPr>
      <w:rFonts w:ascii="Arial" w:hAnsi="Arial"/>
      <w:lang w:val="en-GB"/>
    </w:rPr>
  </w:style>
  <w:style w:type="character" w:customStyle="1" w:styleId="TFChar">
    <w:name w:val="TF Char"/>
    <w:basedOn w:val="DefaultParagraphFont"/>
    <w:link w:val="TF"/>
    <w:rsid w:val="007E298A"/>
    <w:rPr>
      <w:rFonts w:ascii="Arial" w:hAnsi="Arial"/>
      <w:b/>
      <w:lang w:val="en-GB"/>
    </w:rPr>
  </w:style>
  <w:style w:type="character" w:customStyle="1" w:styleId="THChar">
    <w:name w:val="TH Char"/>
    <w:link w:val="TH"/>
    <w:rsid w:val="007E298A"/>
    <w:rPr>
      <w:rFonts w:ascii="Arial" w:hAnsi="Arial"/>
      <w:b/>
      <w:lang w:val="en-GB"/>
    </w:rPr>
  </w:style>
  <w:style w:type="character" w:customStyle="1" w:styleId="B1Char1">
    <w:name w:val="B1 Char1"/>
    <w:locked/>
    <w:rsid w:val="00EA6002"/>
    <w:rPr>
      <w:rFonts w:ascii="Arial" w:hAnsi="Arial" w:cs="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6847">
      <w:bodyDiv w:val="1"/>
      <w:marLeft w:val="0"/>
      <w:marRight w:val="0"/>
      <w:marTop w:val="0"/>
      <w:marBottom w:val="0"/>
      <w:divBdr>
        <w:top w:val="none" w:sz="0" w:space="0" w:color="auto"/>
        <w:left w:val="none" w:sz="0" w:space="0" w:color="auto"/>
        <w:bottom w:val="none" w:sz="0" w:space="0" w:color="auto"/>
        <w:right w:val="none" w:sz="0" w:space="0" w:color="auto"/>
      </w:divBdr>
    </w:div>
    <w:div w:id="523834373">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54799802">
      <w:bodyDiv w:val="1"/>
      <w:marLeft w:val="0"/>
      <w:marRight w:val="0"/>
      <w:marTop w:val="0"/>
      <w:marBottom w:val="0"/>
      <w:divBdr>
        <w:top w:val="none" w:sz="0" w:space="0" w:color="auto"/>
        <w:left w:val="none" w:sz="0" w:space="0" w:color="auto"/>
        <w:bottom w:val="none" w:sz="0" w:space="0" w:color="auto"/>
        <w:right w:val="none" w:sz="0" w:space="0" w:color="auto"/>
      </w:divBdr>
    </w:div>
    <w:div w:id="914902767">
      <w:bodyDiv w:val="1"/>
      <w:marLeft w:val="0"/>
      <w:marRight w:val="0"/>
      <w:marTop w:val="0"/>
      <w:marBottom w:val="0"/>
      <w:divBdr>
        <w:top w:val="none" w:sz="0" w:space="0" w:color="auto"/>
        <w:left w:val="none" w:sz="0" w:space="0" w:color="auto"/>
        <w:bottom w:val="none" w:sz="0" w:space="0" w:color="auto"/>
        <w:right w:val="none" w:sz="0" w:space="0" w:color="auto"/>
      </w:divBdr>
    </w:div>
    <w:div w:id="931014550">
      <w:bodyDiv w:val="1"/>
      <w:marLeft w:val="0"/>
      <w:marRight w:val="0"/>
      <w:marTop w:val="0"/>
      <w:marBottom w:val="0"/>
      <w:divBdr>
        <w:top w:val="none" w:sz="0" w:space="0" w:color="auto"/>
        <w:left w:val="none" w:sz="0" w:space="0" w:color="auto"/>
        <w:bottom w:val="none" w:sz="0" w:space="0" w:color="auto"/>
        <w:right w:val="none" w:sz="0" w:space="0" w:color="auto"/>
      </w:divBdr>
      <w:divsChild>
        <w:div w:id="141118194">
          <w:marLeft w:val="274"/>
          <w:marRight w:val="0"/>
          <w:marTop w:val="72"/>
          <w:marBottom w:val="0"/>
          <w:divBdr>
            <w:top w:val="none" w:sz="0" w:space="0" w:color="auto"/>
            <w:left w:val="none" w:sz="0" w:space="0" w:color="auto"/>
            <w:bottom w:val="none" w:sz="0" w:space="0" w:color="auto"/>
            <w:right w:val="none" w:sz="0" w:space="0" w:color="auto"/>
          </w:divBdr>
        </w:div>
        <w:div w:id="433476032">
          <w:marLeft w:val="274"/>
          <w:marRight w:val="0"/>
          <w:marTop w:val="72"/>
          <w:marBottom w:val="0"/>
          <w:divBdr>
            <w:top w:val="none" w:sz="0" w:space="0" w:color="auto"/>
            <w:left w:val="none" w:sz="0" w:space="0" w:color="auto"/>
            <w:bottom w:val="none" w:sz="0" w:space="0" w:color="auto"/>
            <w:right w:val="none" w:sz="0" w:space="0" w:color="auto"/>
          </w:divBdr>
        </w:div>
        <w:div w:id="1276063720">
          <w:marLeft w:val="274"/>
          <w:marRight w:val="0"/>
          <w:marTop w:val="72"/>
          <w:marBottom w:val="0"/>
          <w:divBdr>
            <w:top w:val="none" w:sz="0" w:space="0" w:color="auto"/>
            <w:left w:val="none" w:sz="0" w:space="0" w:color="auto"/>
            <w:bottom w:val="none" w:sz="0" w:space="0" w:color="auto"/>
            <w:right w:val="none" w:sz="0" w:space="0" w:color="auto"/>
          </w:divBdr>
        </w:div>
        <w:div w:id="1974603210">
          <w:marLeft w:val="274"/>
          <w:marRight w:val="0"/>
          <w:marTop w:val="72"/>
          <w:marBottom w:val="0"/>
          <w:divBdr>
            <w:top w:val="none" w:sz="0" w:space="0" w:color="auto"/>
            <w:left w:val="none" w:sz="0" w:space="0" w:color="auto"/>
            <w:bottom w:val="none" w:sz="0" w:space="0" w:color="auto"/>
            <w:right w:val="none" w:sz="0" w:space="0" w:color="auto"/>
          </w:divBdr>
        </w:div>
      </w:divsChild>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14305931">
      <w:bodyDiv w:val="1"/>
      <w:marLeft w:val="0"/>
      <w:marRight w:val="0"/>
      <w:marTop w:val="0"/>
      <w:marBottom w:val="0"/>
      <w:divBdr>
        <w:top w:val="none" w:sz="0" w:space="0" w:color="auto"/>
        <w:left w:val="none" w:sz="0" w:space="0" w:color="auto"/>
        <w:bottom w:val="none" w:sz="0" w:space="0" w:color="auto"/>
        <w:right w:val="none" w:sz="0" w:space="0" w:color="auto"/>
      </w:divBdr>
    </w:div>
    <w:div w:id="1041974456">
      <w:bodyDiv w:val="1"/>
      <w:marLeft w:val="0"/>
      <w:marRight w:val="0"/>
      <w:marTop w:val="0"/>
      <w:marBottom w:val="0"/>
      <w:divBdr>
        <w:top w:val="none" w:sz="0" w:space="0" w:color="auto"/>
        <w:left w:val="none" w:sz="0" w:space="0" w:color="auto"/>
        <w:bottom w:val="none" w:sz="0" w:space="0" w:color="auto"/>
        <w:right w:val="none" w:sz="0" w:space="0" w:color="auto"/>
      </w:divBdr>
      <w:divsChild>
        <w:div w:id="829910362">
          <w:marLeft w:val="274"/>
          <w:marRight w:val="0"/>
          <w:marTop w:val="115"/>
          <w:marBottom w:val="0"/>
          <w:divBdr>
            <w:top w:val="none" w:sz="0" w:space="0" w:color="auto"/>
            <w:left w:val="none" w:sz="0" w:space="0" w:color="auto"/>
            <w:bottom w:val="none" w:sz="0" w:space="0" w:color="auto"/>
            <w:right w:val="none" w:sz="0" w:space="0" w:color="auto"/>
          </w:divBdr>
        </w:div>
        <w:div w:id="166092118">
          <w:marLeft w:val="835"/>
          <w:marRight w:val="0"/>
          <w:marTop w:val="96"/>
          <w:marBottom w:val="0"/>
          <w:divBdr>
            <w:top w:val="none" w:sz="0" w:space="0" w:color="auto"/>
            <w:left w:val="none" w:sz="0" w:space="0" w:color="auto"/>
            <w:bottom w:val="none" w:sz="0" w:space="0" w:color="auto"/>
            <w:right w:val="none" w:sz="0" w:space="0" w:color="auto"/>
          </w:divBdr>
        </w:div>
        <w:div w:id="1982809808">
          <w:marLeft w:val="274"/>
          <w:marRight w:val="0"/>
          <w:marTop w:val="115"/>
          <w:marBottom w:val="0"/>
          <w:divBdr>
            <w:top w:val="none" w:sz="0" w:space="0" w:color="auto"/>
            <w:left w:val="none" w:sz="0" w:space="0" w:color="auto"/>
            <w:bottom w:val="none" w:sz="0" w:space="0" w:color="auto"/>
            <w:right w:val="none" w:sz="0" w:space="0" w:color="auto"/>
          </w:divBdr>
        </w:div>
        <w:div w:id="801264976">
          <w:marLeft w:val="835"/>
          <w:marRight w:val="0"/>
          <w:marTop w:val="96"/>
          <w:marBottom w:val="0"/>
          <w:divBdr>
            <w:top w:val="none" w:sz="0" w:space="0" w:color="auto"/>
            <w:left w:val="none" w:sz="0" w:space="0" w:color="auto"/>
            <w:bottom w:val="none" w:sz="0" w:space="0" w:color="auto"/>
            <w:right w:val="none" w:sz="0" w:space="0" w:color="auto"/>
          </w:divBdr>
        </w:div>
        <w:div w:id="763301726">
          <w:marLeft w:val="835"/>
          <w:marRight w:val="0"/>
          <w:marTop w:val="96"/>
          <w:marBottom w:val="0"/>
          <w:divBdr>
            <w:top w:val="none" w:sz="0" w:space="0" w:color="auto"/>
            <w:left w:val="none" w:sz="0" w:space="0" w:color="auto"/>
            <w:bottom w:val="none" w:sz="0" w:space="0" w:color="auto"/>
            <w:right w:val="none" w:sz="0" w:space="0" w:color="auto"/>
          </w:divBdr>
        </w:div>
        <w:div w:id="1575892113">
          <w:marLeft w:val="274"/>
          <w:marRight w:val="0"/>
          <w:marTop w:val="115"/>
          <w:marBottom w:val="0"/>
          <w:divBdr>
            <w:top w:val="none" w:sz="0" w:space="0" w:color="auto"/>
            <w:left w:val="none" w:sz="0" w:space="0" w:color="auto"/>
            <w:bottom w:val="none" w:sz="0" w:space="0" w:color="auto"/>
            <w:right w:val="none" w:sz="0" w:space="0" w:color="auto"/>
          </w:divBdr>
        </w:div>
        <w:div w:id="2041666568">
          <w:marLeft w:val="274"/>
          <w:marRight w:val="0"/>
          <w:marTop w:val="115"/>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75428507">
      <w:bodyDiv w:val="1"/>
      <w:marLeft w:val="0"/>
      <w:marRight w:val="0"/>
      <w:marTop w:val="0"/>
      <w:marBottom w:val="0"/>
      <w:divBdr>
        <w:top w:val="none" w:sz="0" w:space="0" w:color="auto"/>
        <w:left w:val="none" w:sz="0" w:space="0" w:color="auto"/>
        <w:bottom w:val="none" w:sz="0" w:space="0" w:color="auto"/>
        <w:right w:val="none" w:sz="0" w:space="0" w:color="auto"/>
      </w:divBdr>
      <w:divsChild>
        <w:div w:id="10962658">
          <w:marLeft w:val="1411"/>
          <w:marRight w:val="0"/>
          <w:marTop w:val="58"/>
          <w:marBottom w:val="0"/>
          <w:divBdr>
            <w:top w:val="none" w:sz="0" w:space="0" w:color="auto"/>
            <w:left w:val="none" w:sz="0" w:space="0" w:color="auto"/>
            <w:bottom w:val="none" w:sz="0" w:space="0" w:color="auto"/>
            <w:right w:val="none" w:sz="0" w:space="0" w:color="auto"/>
          </w:divBdr>
        </w:div>
        <w:div w:id="307901266">
          <w:marLeft w:val="835"/>
          <w:marRight w:val="0"/>
          <w:marTop w:val="58"/>
          <w:marBottom w:val="0"/>
          <w:divBdr>
            <w:top w:val="none" w:sz="0" w:space="0" w:color="auto"/>
            <w:left w:val="none" w:sz="0" w:space="0" w:color="auto"/>
            <w:bottom w:val="none" w:sz="0" w:space="0" w:color="auto"/>
            <w:right w:val="none" w:sz="0" w:space="0" w:color="auto"/>
          </w:divBdr>
        </w:div>
        <w:div w:id="583993699">
          <w:marLeft w:val="1411"/>
          <w:marRight w:val="0"/>
          <w:marTop w:val="58"/>
          <w:marBottom w:val="0"/>
          <w:divBdr>
            <w:top w:val="none" w:sz="0" w:space="0" w:color="auto"/>
            <w:left w:val="none" w:sz="0" w:space="0" w:color="auto"/>
            <w:bottom w:val="none" w:sz="0" w:space="0" w:color="auto"/>
            <w:right w:val="none" w:sz="0" w:space="0" w:color="auto"/>
          </w:divBdr>
        </w:div>
        <w:div w:id="688680721">
          <w:marLeft w:val="835"/>
          <w:marRight w:val="0"/>
          <w:marTop w:val="58"/>
          <w:marBottom w:val="0"/>
          <w:divBdr>
            <w:top w:val="none" w:sz="0" w:space="0" w:color="auto"/>
            <w:left w:val="none" w:sz="0" w:space="0" w:color="auto"/>
            <w:bottom w:val="none" w:sz="0" w:space="0" w:color="auto"/>
            <w:right w:val="none" w:sz="0" w:space="0" w:color="auto"/>
          </w:divBdr>
        </w:div>
        <w:div w:id="812864858">
          <w:marLeft w:val="274"/>
          <w:marRight w:val="0"/>
          <w:marTop w:val="86"/>
          <w:marBottom w:val="0"/>
          <w:divBdr>
            <w:top w:val="none" w:sz="0" w:space="0" w:color="auto"/>
            <w:left w:val="none" w:sz="0" w:space="0" w:color="auto"/>
            <w:bottom w:val="none" w:sz="0" w:space="0" w:color="auto"/>
            <w:right w:val="none" w:sz="0" w:space="0" w:color="auto"/>
          </w:divBdr>
        </w:div>
        <w:div w:id="818379542">
          <w:marLeft w:val="1411"/>
          <w:marRight w:val="0"/>
          <w:marTop w:val="58"/>
          <w:marBottom w:val="0"/>
          <w:divBdr>
            <w:top w:val="none" w:sz="0" w:space="0" w:color="auto"/>
            <w:left w:val="none" w:sz="0" w:space="0" w:color="auto"/>
            <w:bottom w:val="none" w:sz="0" w:space="0" w:color="auto"/>
            <w:right w:val="none" w:sz="0" w:space="0" w:color="auto"/>
          </w:divBdr>
        </w:div>
        <w:div w:id="1161577442">
          <w:marLeft w:val="1411"/>
          <w:marRight w:val="0"/>
          <w:marTop w:val="58"/>
          <w:marBottom w:val="0"/>
          <w:divBdr>
            <w:top w:val="none" w:sz="0" w:space="0" w:color="auto"/>
            <w:left w:val="none" w:sz="0" w:space="0" w:color="auto"/>
            <w:bottom w:val="none" w:sz="0" w:space="0" w:color="auto"/>
            <w:right w:val="none" w:sz="0" w:space="0" w:color="auto"/>
          </w:divBdr>
        </w:div>
        <w:div w:id="1771046227">
          <w:marLeft w:val="835"/>
          <w:marRight w:val="0"/>
          <w:marTop w:val="58"/>
          <w:marBottom w:val="0"/>
          <w:divBdr>
            <w:top w:val="none" w:sz="0" w:space="0" w:color="auto"/>
            <w:left w:val="none" w:sz="0" w:space="0" w:color="auto"/>
            <w:bottom w:val="none" w:sz="0" w:space="0" w:color="auto"/>
            <w:right w:val="none" w:sz="0" w:space="0" w:color="auto"/>
          </w:divBdr>
        </w:div>
      </w:divsChild>
    </w:div>
    <w:div w:id="1416899132">
      <w:bodyDiv w:val="1"/>
      <w:marLeft w:val="0"/>
      <w:marRight w:val="0"/>
      <w:marTop w:val="0"/>
      <w:marBottom w:val="0"/>
      <w:divBdr>
        <w:top w:val="none" w:sz="0" w:space="0" w:color="auto"/>
        <w:left w:val="none" w:sz="0" w:space="0" w:color="auto"/>
        <w:bottom w:val="none" w:sz="0" w:space="0" w:color="auto"/>
        <w:right w:val="none" w:sz="0" w:space="0" w:color="auto"/>
      </w:divBdr>
      <w:divsChild>
        <w:div w:id="20056404">
          <w:marLeft w:val="1411"/>
          <w:marRight w:val="0"/>
          <w:marTop w:val="58"/>
          <w:marBottom w:val="0"/>
          <w:divBdr>
            <w:top w:val="none" w:sz="0" w:space="0" w:color="auto"/>
            <w:left w:val="none" w:sz="0" w:space="0" w:color="auto"/>
            <w:bottom w:val="none" w:sz="0" w:space="0" w:color="auto"/>
            <w:right w:val="none" w:sz="0" w:space="0" w:color="auto"/>
          </w:divBdr>
        </w:div>
        <w:div w:id="668482427">
          <w:marLeft w:val="835"/>
          <w:marRight w:val="0"/>
          <w:marTop w:val="58"/>
          <w:marBottom w:val="0"/>
          <w:divBdr>
            <w:top w:val="none" w:sz="0" w:space="0" w:color="auto"/>
            <w:left w:val="none" w:sz="0" w:space="0" w:color="auto"/>
            <w:bottom w:val="none" w:sz="0" w:space="0" w:color="auto"/>
            <w:right w:val="none" w:sz="0" w:space="0" w:color="auto"/>
          </w:divBdr>
        </w:div>
        <w:div w:id="715668287">
          <w:marLeft w:val="1411"/>
          <w:marRight w:val="0"/>
          <w:marTop w:val="58"/>
          <w:marBottom w:val="0"/>
          <w:divBdr>
            <w:top w:val="none" w:sz="0" w:space="0" w:color="auto"/>
            <w:left w:val="none" w:sz="0" w:space="0" w:color="auto"/>
            <w:bottom w:val="none" w:sz="0" w:space="0" w:color="auto"/>
            <w:right w:val="none" w:sz="0" w:space="0" w:color="auto"/>
          </w:divBdr>
        </w:div>
        <w:div w:id="1005330329">
          <w:marLeft w:val="1411"/>
          <w:marRight w:val="0"/>
          <w:marTop w:val="58"/>
          <w:marBottom w:val="0"/>
          <w:divBdr>
            <w:top w:val="none" w:sz="0" w:space="0" w:color="auto"/>
            <w:left w:val="none" w:sz="0" w:space="0" w:color="auto"/>
            <w:bottom w:val="none" w:sz="0" w:space="0" w:color="auto"/>
            <w:right w:val="none" w:sz="0" w:space="0" w:color="auto"/>
          </w:divBdr>
        </w:div>
        <w:div w:id="1018002313">
          <w:marLeft w:val="274"/>
          <w:marRight w:val="0"/>
          <w:marTop w:val="86"/>
          <w:marBottom w:val="0"/>
          <w:divBdr>
            <w:top w:val="none" w:sz="0" w:space="0" w:color="auto"/>
            <w:left w:val="none" w:sz="0" w:space="0" w:color="auto"/>
            <w:bottom w:val="none" w:sz="0" w:space="0" w:color="auto"/>
            <w:right w:val="none" w:sz="0" w:space="0" w:color="auto"/>
          </w:divBdr>
        </w:div>
        <w:div w:id="1143278569">
          <w:marLeft w:val="835"/>
          <w:marRight w:val="0"/>
          <w:marTop w:val="58"/>
          <w:marBottom w:val="0"/>
          <w:divBdr>
            <w:top w:val="none" w:sz="0" w:space="0" w:color="auto"/>
            <w:left w:val="none" w:sz="0" w:space="0" w:color="auto"/>
            <w:bottom w:val="none" w:sz="0" w:space="0" w:color="auto"/>
            <w:right w:val="none" w:sz="0" w:space="0" w:color="auto"/>
          </w:divBdr>
        </w:div>
        <w:div w:id="1352417543">
          <w:marLeft w:val="1411"/>
          <w:marRight w:val="0"/>
          <w:marTop w:val="58"/>
          <w:marBottom w:val="0"/>
          <w:divBdr>
            <w:top w:val="none" w:sz="0" w:space="0" w:color="auto"/>
            <w:left w:val="none" w:sz="0" w:space="0" w:color="auto"/>
            <w:bottom w:val="none" w:sz="0" w:space="0" w:color="auto"/>
            <w:right w:val="none" w:sz="0" w:space="0" w:color="auto"/>
          </w:divBdr>
        </w:div>
        <w:div w:id="1567185244">
          <w:marLeft w:val="835"/>
          <w:marRight w:val="0"/>
          <w:marTop w:val="58"/>
          <w:marBottom w:val="0"/>
          <w:divBdr>
            <w:top w:val="none" w:sz="0" w:space="0" w:color="auto"/>
            <w:left w:val="none" w:sz="0" w:space="0" w:color="auto"/>
            <w:bottom w:val="none" w:sz="0" w:space="0" w:color="auto"/>
            <w:right w:val="none" w:sz="0" w:space="0" w:color="auto"/>
          </w:divBdr>
        </w:div>
      </w:divsChild>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0656194">
      <w:bodyDiv w:val="1"/>
      <w:marLeft w:val="0"/>
      <w:marRight w:val="0"/>
      <w:marTop w:val="0"/>
      <w:marBottom w:val="0"/>
      <w:divBdr>
        <w:top w:val="none" w:sz="0" w:space="0" w:color="auto"/>
        <w:left w:val="none" w:sz="0" w:space="0" w:color="auto"/>
        <w:bottom w:val="none" w:sz="0" w:space="0" w:color="auto"/>
        <w:right w:val="none" w:sz="0" w:space="0" w:color="auto"/>
      </w:divBdr>
      <w:divsChild>
        <w:div w:id="151944606">
          <w:marLeft w:val="835"/>
          <w:marRight w:val="0"/>
          <w:marTop w:val="82"/>
          <w:marBottom w:val="0"/>
          <w:divBdr>
            <w:top w:val="none" w:sz="0" w:space="0" w:color="auto"/>
            <w:left w:val="none" w:sz="0" w:space="0" w:color="auto"/>
            <w:bottom w:val="none" w:sz="0" w:space="0" w:color="auto"/>
            <w:right w:val="none" w:sz="0" w:space="0" w:color="auto"/>
          </w:divBdr>
        </w:div>
        <w:div w:id="1002243648">
          <w:marLeft w:val="835"/>
          <w:marRight w:val="0"/>
          <w:marTop w:val="82"/>
          <w:marBottom w:val="0"/>
          <w:divBdr>
            <w:top w:val="none" w:sz="0" w:space="0" w:color="auto"/>
            <w:left w:val="none" w:sz="0" w:space="0" w:color="auto"/>
            <w:bottom w:val="none" w:sz="0" w:space="0" w:color="auto"/>
            <w:right w:val="none" w:sz="0" w:space="0" w:color="auto"/>
          </w:divBdr>
        </w:div>
        <w:div w:id="2126849928">
          <w:marLeft w:val="835"/>
          <w:marRight w:val="0"/>
          <w:marTop w:val="82"/>
          <w:marBottom w:val="0"/>
          <w:divBdr>
            <w:top w:val="none" w:sz="0" w:space="0" w:color="auto"/>
            <w:left w:val="none" w:sz="0" w:space="0" w:color="auto"/>
            <w:bottom w:val="none" w:sz="0" w:space="0" w:color="auto"/>
            <w:right w:val="none" w:sz="0" w:space="0" w:color="auto"/>
          </w:divBdr>
        </w:div>
      </w:divsChild>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01122522">
      <w:bodyDiv w:val="1"/>
      <w:marLeft w:val="0"/>
      <w:marRight w:val="0"/>
      <w:marTop w:val="0"/>
      <w:marBottom w:val="0"/>
      <w:divBdr>
        <w:top w:val="none" w:sz="0" w:space="0" w:color="auto"/>
        <w:left w:val="none" w:sz="0" w:space="0" w:color="auto"/>
        <w:bottom w:val="none" w:sz="0" w:space="0" w:color="auto"/>
        <w:right w:val="none" w:sz="0" w:space="0" w:color="auto"/>
      </w:divBdr>
      <w:divsChild>
        <w:div w:id="144586218">
          <w:marLeft w:val="274"/>
          <w:marRight w:val="0"/>
          <w:marTop w:val="72"/>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4326677">
      <w:bodyDiv w:val="1"/>
      <w:marLeft w:val="0"/>
      <w:marRight w:val="0"/>
      <w:marTop w:val="0"/>
      <w:marBottom w:val="0"/>
      <w:divBdr>
        <w:top w:val="none" w:sz="0" w:space="0" w:color="auto"/>
        <w:left w:val="none" w:sz="0" w:space="0" w:color="auto"/>
        <w:bottom w:val="none" w:sz="0" w:space="0" w:color="auto"/>
        <w:right w:val="none" w:sz="0" w:space="0" w:color="auto"/>
      </w:divBdr>
      <w:divsChild>
        <w:div w:id="215091531">
          <w:marLeft w:val="274"/>
          <w:marRight w:val="0"/>
          <w:marTop w:val="115"/>
          <w:marBottom w:val="0"/>
          <w:divBdr>
            <w:top w:val="none" w:sz="0" w:space="0" w:color="auto"/>
            <w:left w:val="none" w:sz="0" w:space="0" w:color="auto"/>
            <w:bottom w:val="none" w:sz="0" w:space="0" w:color="auto"/>
            <w:right w:val="none" w:sz="0" w:space="0" w:color="auto"/>
          </w:divBdr>
        </w:div>
        <w:div w:id="1128015788">
          <w:marLeft w:val="835"/>
          <w:marRight w:val="0"/>
          <w:marTop w:val="96"/>
          <w:marBottom w:val="0"/>
          <w:divBdr>
            <w:top w:val="none" w:sz="0" w:space="0" w:color="auto"/>
            <w:left w:val="none" w:sz="0" w:space="0" w:color="auto"/>
            <w:bottom w:val="none" w:sz="0" w:space="0" w:color="auto"/>
            <w:right w:val="none" w:sz="0" w:space="0" w:color="auto"/>
          </w:divBdr>
        </w:div>
        <w:div w:id="1942371404">
          <w:marLeft w:val="274"/>
          <w:marRight w:val="0"/>
          <w:marTop w:val="115"/>
          <w:marBottom w:val="0"/>
          <w:divBdr>
            <w:top w:val="none" w:sz="0" w:space="0" w:color="auto"/>
            <w:left w:val="none" w:sz="0" w:space="0" w:color="auto"/>
            <w:bottom w:val="none" w:sz="0" w:space="0" w:color="auto"/>
            <w:right w:val="none" w:sz="0" w:space="0" w:color="auto"/>
          </w:divBdr>
        </w:div>
        <w:div w:id="367997225">
          <w:marLeft w:val="835"/>
          <w:marRight w:val="0"/>
          <w:marTop w:val="96"/>
          <w:marBottom w:val="0"/>
          <w:divBdr>
            <w:top w:val="none" w:sz="0" w:space="0" w:color="auto"/>
            <w:left w:val="none" w:sz="0" w:space="0" w:color="auto"/>
            <w:bottom w:val="none" w:sz="0" w:space="0" w:color="auto"/>
            <w:right w:val="none" w:sz="0" w:space="0" w:color="auto"/>
          </w:divBdr>
        </w:div>
        <w:div w:id="1576166408">
          <w:marLeft w:val="835"/>
          <w:marRight w:val="0"/>
          <w:marTop w:val="96"/>
          <w:marBottom w:val="0"/>
          <w:divBdr>
            <w:top w:val="none" w:sz="0" w:space="0" w:color="auto"/>
            <w:left w:val="none" w:sz="0" w:space="0" w:color="auto"/>
            <w:bottom w:val="none" w:sz="0" w:space="0" w:color="auto"/>
            <w:right w:val="none" w:sz="0" w:space="0" w:color="auto"/>
          </w:divBdr>
        </w:div>
        <w:div w:id="1181973325">
          <w:marLeft w:val="274"/>
          <w:marRight w:val="0"/>
          <w:marTop w:val="115"/>
          <w:marBottom w:val="0"/>
          <w:divBdr>
            <w:top w:val="none" w:sz="0" w:space="0" w:color="auto"/>
            <w:left w:val="none" w:sz="0" w:space="0" w:color="auto"/>
            <w:bottom w:val="none" w:sz="0" w:space="0" w:color="auto"/>
            <w:right w:val="none" w:sz="0" w:space="0" w:color="auto"/>
          </w:divBdr>
        </w:div>
        <w:div w:id="140654439">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metis-ii.5g-ppp.eu/wp-content/uploads/5G-PPP-METIS-II-5G-RAN-Architecture-White-Paper.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SAQRZK7RPU5V-1-1004</_dlc_DocId>
    <_dlc_DocIdUrl xmlns="08b2df90-05d3-4030-90d4-c9feeb4a1cd9">
      <Url>https://ericoll.internal.ericsson.com/sites/NSA/_layouts/DocIdRedir.aspx?ID=SAQRZK7RPU5V-1-1004</Url>
      <Description>SAQRZK7RPU5V-1-1004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40AEC603-7F5F-4EA8-A7D7-9AED43767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3</cp:revision>
  <cp:lastPrinted>2016-03-02T07:21:00Z</cp:lastPrinted>
  <dcterms:created xsi:type="dcterms:W3CDTF">2016-04-01T23:35:00Z</dcterms:created>
  <dcterms:modified xsi:type="dcterms:W3CDTF">2016-04-02T00:50:00Z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24af571c-3691-4b81-92af-c6631a98628f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